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E0FCE" w14:textId="3CFD71D1" w:rsidR="00103AEF" w:rsidRPr="009F1B82" w:rsidRDefault="00103AEF" w:rsidP="009F1B82">
      <w:pPr>
        <w:pStyle w:val="Akapitzlist"/>
        <w:spacing w:after="0"/>
        <w:contextualSpacing w:val="0"/>
        <w:jc w:val="right"/>
        <w:rPr>
          <w:i/>
        </w:rPr>
      </w:pPr>
      <w:r w:rsidRPr="009F1B82">
        <w:rPr>
          <w:i/>
        </w:rPr>
        <w:t xml:space="preserve">Załącznik nr </w:t>
      </w:r>
      <w:r w:rsidR="00803C5D" w:rsidRPr="009F1B82">
        <w:rPr>
          <w:i/>
        </w:rPr>
        <w:t xml:space="preserve">3 </w:t>
      </w:r>
      <w:r w:rsidRPr="009F1B82">
        <w:rPr>
          <w:i/>
        </w:rPr>
        <w:t>do Aneksu nr 1-</w:t>
      </w:r>
    </w:p>
    <w:p w14:paraId="1A0A4560" w14:textId="34466ADA" w:rsidR="00346CB0" w:rsidRPr="009F1B82" w:rsidRDefault="00346CB0" w:rsidP="009F1B82">
      <w:pPr>
        <w:pStyle w:val="Akapitzlist"/>
        <w:spacing w:after="0"/>
        <w:contextualSpacing w:val="0"/>
        <w:jc w:val="right"/>
        <w:rPr>
          <w:i/>
        </w:rPr>
      </w:pPr>
      <w:r w:rsidRPr="009F1B82">
        <w:rPr>
          <w:i/>
        </w:rPr>
        <w:t xml:space="preserve">Załącznik Nr </w:t>
      </w:r>
      <w:r w:rsidR="00985F48" w:rsidRPr="009F1B82">
        <w:rPr>
          <w:i/>
        </w:rPr>
        <w:t>9</w:t>
      </w:r>
    </w:p>
    <w:p w14:paraId="0322D563" w14:textId="69180C19" w:rsidR="00AD7A91" w:rsidRDefault="00346CB0" w:rsidP="009F1B82">
      <w:pPr>
        <w:pStyle w:val="Akapitzlist"/>
        <w:spacing w:after="0"/>
        <w:ind w:left="0"/>
        <w:contextualSpacing w:val="0"/>
        <w:jc w:val="right"/>
        <w:rPr>
          <w:i/>
        </w:rPr>
      </w:pPr>
      <w:r w:rsidRPr="009F1B82">
        <w:rPr>
          <w:i/>
        </w:rPr>
        <w:t>do Umowy Operacyjnej –</w:t>
      </w:r>
      <w:r w:rsidR="00242BE0" w:rsidRPr="009F1B82">
        <w:rPr>
          <w:i/>
        </w:rPr>
        <w:t xml:space="preserve"> Pożyczka </w:t>
      </w:r>
      <w:r w:rsidR="00AD7A91" w:rsidRPr="009F1B82">
        <w:rPr>
          <w:i/>
        </w:rPr>
        <w:t>rozwojowa nr</w:t>
      </w:r>
      <w:r w:rsidR="006E2273" w:rsidRPr="009F1B82">
        <w:rPr>
          <w:i/>
        </w:rPr>
        <w:t xml:space="preserve"> </w:t>
      </w:r>
      <w:r w:rsidR="0013510B">
        <w:rPr>
          <w:i/>
        </w:rPr>
        <w:t>2/FELU/3623/2023/II/EFRR/002</w:t>
      </w:r>
    </w:p>
    <w:p w14:paraId="4315D8E1" w14:textId="77777777" w:rsidR="00D5509B" w:rsidRPr="009F1B82" w:rsidRDefault="00D5509B" w:rsidP="009F1B82">
      <w:pPr>
        <w:pStyle w:val="Akapitzlist"/>
        <w:spacing w:after="0"/>
        <w:ind w:left="0"/>
        <w:contextualSpacing w:val="0"/>
        <w:jc w:val="right"/>
        <w:rPr>
          <w:i/>
        </w:rPr>
      </w:pPr>
    </w:p>
    <w:p w14:paraId="770E21F4" w14:textId="7204D9E1" w:rsidR="00D5509B" w:rsidRDefault="00D5509B" w:rsidP="006B26B1">
      <w:pPr>
        <w:pStyle w:val="Akapitzlist"/>
        <w:spacing w:after="120"/>
        <w:ind w:left="0"/>
        <w:contextualSpacing w:val="0"/>
        <w:jc w:val="right"/>
      </w:pPr>
      <w:r>
        <w:t xml:space="preserve">Wydanie </w:t>
      </w:r>
      <w:r w:rsidR="005A03C1">
        <w:t xml:space="preserve">nr  2 </w:t>
      </w:r>
      <w:r>
        <w:t xml:space="preserve">z dnia 25.02.2024 r. </w:t>
      </w:r>
    </w:p>
    <w:p w14:paraId="4ED45C23" w14:textId="74399662" w:rsidR="00346CB0" w:rsidRPr="009F1B82" w:rsidRDefault="00D5509B" w:rsidP="006B26B1">
      <w:pPr>
        <w:pStyle w:val="Akapitzlist"/>
        <w:spacing w:after="120"/>
        <w:ind w:left="0"/>
        <w:contextualSpacing w:val="0"/>
        <w:jc w:val="right"/>
        <w:rPr>
          <w:i/>
        </w:rPr>
      </w:pPr>
      <w:r>
        <w:t>Załącznik nr 1 do Umowy Pożyczki nr …………………………… z dnia ………..…………..……..</w:t>
      </w:r>
    </w:p>
    <w:p w14:paraId="71B64434" w14:textId="77777777" w:rsidR="00346CB0" w:rsidRPr="009F1B82" w:rsidRDefault="00346CB0" w:rsidP="006B26B1">
      <w:pPr>
        <w:pStyle w:val="Akapitzlist"/>
        <w:spacing w:after="120"/>
        <w:ind w:left="0"/>
        <w:contextualSpacing w:val="0"/>
        <w:jc w:val="center"/>
        <w:rPr>
          <w:b/>
        </w:rPr>
      </w:pPr>
    </w:p>
    <w:p w14:paraId="736A8294" w14:textId="2DAAFA76" w:rsidR="005F3EAE" w:rsidRPr="009F1B82" w:rsidRDefault="00A543DB" w:rsidP="006B26B1">
      <w:pPr>
        <w:pStyle w:val="Akapitzlist"/>
        <w:spacing w:after="120"/>
        <w:ind w:left="0"/>
        <w:contextualSpacing w:val="0"/>
        <w:jc w:val="center"/>
        <w:rPr>
          <w:b/>
        </w:rPr>
      </w:pPr>
      <w:r w:rsidRPr="009F1B82">
        <w:rPr>
          <w:b/>
        </w:rPr>
        <w:t xml:space="preserve">Karta Produktu </w:t>
      </w:r>
      <w:r w:rsidR="00242BE0" w:rsidRPr="009F1B82">
        <w:rPr>
          <w:b/>
        </w:rPr>
        <w:t xml:space="preserve">Pożyczka </w:t>
      </w:r>
      <w:r w:rsidR="00A5120A" w:rsidRPr="009F1B82">
        <w:rPr>
          <w:b/>
        </w:rPr>
        <w:t>rozwojowa</w:t>
      </w:r>
    </w:p>
    <w:p w14:paraId="58204AAB" w14:textId="77777777" w:rsidR="005F3EAE" w:rsidRPr="009F1B82" w:rsidRDefault="005F3EAE" w:rsidP="006B26B1">
      <w:pPr>
        <w:pStyle w:val="Akapitzlist"/>
        <w:spacing w:after="120"/>
        <w:ind w:left="0"/>
        <w:contextualSpacing w:val="0"/>
        <w:jc w:val="both"/>
        <w:rPr>
          <w:b/>
        </w:rPr>
      </w:pPr>
    </w:p>
    <w:p w14:paraId="37F506F7" w14:textId="13574AE6" w:rsidR="007678C3" w:rsidRPr="009F1B82" w:rsidRDefault="007678C3" w:rsidP="006B26B1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b/>
        </w:rPr>
      </w:pPr>
      <w:r w:rsidRPr="009F1B82">
        <w:rPr>
          <w:b/>
        </w:rPr>
        <w:t xml:space="preserve">Podstawowe parametry </w:t>
      </w:r>
      <w:r w:rsidR="005F7B39" w:rsidRPr="009F1B82">
        <w:rPr>
          <w:b/>
        </w:rPr>
        <w:t xml:space="preserve">Pożyczki </w:t>
      </w:r>
      <w:r w:rsidR="00A5120A" w:rsidRPr="009F1B82">
        <w:rPr>
          <w:b/>
        </w:rPr>
        <w:t>rozwojowej</w:t>
      </w:r>
      <w:bookmarkStart w:id="0" w:name="_GoBack"/>
      <w:bookmarkEnd w:id="0"/>
    </w:p>
    <w:p w14:paraId="41FEF4F9" w14:textId="77777777" w:rsidR="0013510B" w:rsidRPr="00F854F4" w:rsidRDefault="0013510B" w:rsidP="0013510B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</w:pPr>
      <w:r w:rsidRPr="00F854F4">
        <w:t xml:space="preserve">Wartość </w:t>
      </w:r>
      <w:r>
        <w:t>Pożyczki</w:t>
      </w:r>
      <w:r w:rsidRPr="00F854F4">
        <w:t xml:space="preserve"> </w:t>
      </w:r>
      <w:r>
        <w:t>wynosi do 2 000 000,00 zł</w:t>
      </w:r>
      <w:r w:rsidRPr="00F854F4">
        <w:t>.</w:t>
      </w:r>
    </w:p>
    <w:p w14:paraId="6D08C920" w14:textId="77777777" w:rsidR="0013510B" w:rsidRPr="00F854F4" w:rsidRDefault="0013510B" w:rsidP="0013510B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</w:pPr>
      <w:r w:rsidRPr="00F854F4">
        <w:t xml:space="preserve">Wkład własny </w:t>
      </w:r>
      <w:r>
        <w:t xml:space="preserve">Pożyczkobiorcy </w:t>
      </w:r>
      <w:r w:rsidRPr="00F854F4">
        <w:t>nie jest wymagany.</w:t>
      </w:r>
    </w:p>
    <w:p w14:paraId="0518B435" w14:textId="77777777" w:rsidR="0013510B" w:rsidRPr="00F854F4" w:rsidRDefault="0013510B" w:rsidP="0013510B">
      <w:pPr>
        <w:pStyle w:val="Akapitzlist"/>
        <w:numPr>
          <w:ilvl w:val="0"/>
          <w:numId w:val="11"/>
        </w:numPr>
        <w:tabs>
          <w:tab w:val="right" w:pos="8931"/>
        </w:tabs>
        <w:autoSpaceDE w:val="0"/>
        <w:autoSpaceDN w:val="0"/>
        <w:adjustRightInd w:val="0"/>
        <w:spacing w:before="120" w:after="120"/>
        <w:ind w:left="426"/>
        <w:jc w:val="both"/>
      </w:pPr>
      <w:r w:rsidRPr="00F854F4">
        <w:t xml:space="preserve">Maksymalny termin na wypłatę całkowitej kwoty </w:t>
      </w:r>
      <w:r>
        <w:t>Pożyczki przez Biłgorajską Agencję Rozwoju Regionalnego S.A., Polską Fundację Ośrodków Wspomagania Rozwoju Gospodarczego „OIC Poland” oraz Fundację „Puławskie Centrum Przedsiębiorczości”</w:t>
      </w:r>
      <w:r w:rsidRPr="004333D1">
        <w:rPr>
          <w:rFonts w:ascii="Calibri" w:hAnsi="Calibri"/>
        </w:rPr>
        <w:t>,</w:t>
      </w:r>
      <w:r>
        <w:t xml:space="preserve"> wynosi</w:t>
      </w:r>
      <w:r w:rsidRPr="00F854F4">
        <w:t xml:space="preserve"> </w:t>
      </w:r>
      <w:r>
        <w:t xml:space="preserve">90 </w:t>
      </w:r>
      <w:r w:rsidRPr="00F854F4">
        <w:t>dni k</w:t>
      </w:r>
      <w:r>
        <w:t>alendarzowych od dnia zawarcia u</w:t>
      </w:r>
      <w:r w:rsidRPr="00F854F4">
        <w:t xml:space="preserve">mowy </w:t>
      </w:r>
      <w:r>
        <w:t>Pożyczki</w:t>
      </w:r>
      <w:r w:rsidRPr="00F854F4">
        <w:t xml:space="preserve">. </w:t>
      </w:r>
    </w:p>
    <w:p w14:paraId="1FC6182B" w14:textId="77777777" w:rsidR="0013510B" w:rsidRPr="00F854F4" w:rsidRDefault="0013510B" w:rsidP="0013510B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</w:pPr>
      <w:r w:rsidRPr="00F854F4">
        <w:t xml:space="preserve">Maksymalny okres spłaty </w:t>
      </w:r>
      <w:r>
        <w:t>Pożyczki nie może być dłuższy niż 120</w:t>
      </w:r>
      <w:r w:rsidRPr="00F854F4">
        <w:t xml:space="preserve"> miesięcy, od momentu jej uruchomienia, tj. wypłaty jakiejkolwiek kwoty </w:t>
      </w:r>
      <w:r>
        <w:t>Pożyczki</w:t>
      </w:r>
      <w:r w:rsidRPr="00F854F4">
        <w:t>.</w:t>
      </w:r>
    </w:p>
    <w:p w14:paraId="0D99E4F8" w14:textId="77777777" w:rsidR="0013510B" w:rsidRPr="00F854F4" w:rsidRDefault="0013510B" w:rsidP="0013510B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</w:pPr>
      <w:r w:rsidRPr="00F854F4">
        <w:t xml:space="preserve">Maksymalna karencja w spłacie </w:t>
      </w:r>
      <w:r>
        <w:t xml:space="preserve">kapitału Pożyczki wynosi 12 </w:t>
      </w:r>
      <w:r w:rsidRPr="00F854F4">
        <w:t xml:space="preserve">miesięcy od dnia jej uruchomienia, przy czym karencja nie wydłuża okresu spłaty </w:t>
      </w:r>
      <w:r>
        <w:t>Pożyczki</w:t>
      </w:r>
      <w:r w:rsidRPr="00F854F4">
        <w:t>.</w:t>
      </w:r>
      <w:r>
        <w:t xml:space="preserve"> </w:t>
      </w:r>
    </w:p>
    <w:p w14:paraId="63F1AC2C" w14:textId="77777777" w:rsidR="0013510B" w:rsidRPr="00F854F4" w:rsidRDefault="0013510B" w:rsidP="0013510B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b/>
        </w:rPr>
      </w:pPr>
      <w:r w:rsidRPr="00F854F4">
        <w:rPr>
          <w:b/>
        </w:rPr>
        <w:t xml:space="preserve">Zasady dotyczące udzielania i udokumentowania </w:t>
      </w:r>
      <w:r>
        <w:rPr>
          <w:b/>
        </w:rPr>
        <w:t>Pożyczki rozwojowej</w:t>
      </w:r>
    </w:p>
    <w:p w14:paraId="49670906" w14:textId="77777777" w:rsidR="0013510B" w:rsidRPr="00F854F4" w:rsidRDefault="0013510B" w:rsidP="0013510B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F854F4">
        <w:t xml:space="preserve">Udzielenie </w:t>
      </w:r>
      <w:r>
        <w:t xml:space="preserve">Pożyczki </w:t>
      </w:r>
      <w:r w:rsidRPr="00F854F4">
        <w:t xml:space="preserve">nie może być uzależnione od zawarcia przez </w:t>
      </w:r>
      <w:r>
        <w:t xml:space="preserve">Pożyczkobiorcę </w:t>
      </w:r>
      <w:r w:rsidRPr="00F854F4">
        <w:t xml:space="preserve">dodatkowych umów (w szczególności dotyczących zakupu dodatkowych usług, produktów finansowych lub ubezpieczeniowych) z </w:t>
      </w:r>
      <w:r>
        <w:t>Biłgorajską Agencją Rozwoju Regionalnego S.A., Polską Fundacją Ośrodków Wspomagania Rozwoju Gospodarczego „OIC Poland” oraz Fundacją „Puławskie Centrum Przedsiębiorczości”</w:t>
      </w:r>
      <w:r w:rsidRPr="00581A6C">
        <w:t xml:space="preserve"> </w:t>
      </w:r>
      <w:r w:rsidRPr="00F854F4">
        <w:t xml:space="preserve">lub podmiotem partnerskim lub powiązanym w stosunku </w:t>
      </w:r>
      <w:r>
        <w:t>Biłgorajskiej Agencji Rozwoju Regionalnego S.A., Polskiej Fundacji Ośrodków Wspomagania Rozwoju Gospodarczego „OIC Poland” oraz Fundacji „Puławskie Centrum Przedsiębiorczości”</w:t>
      </w:r>
      <w:r>
        <w:rPr>
          <w:rFonts w:ascii="Calibri" w:hAnsi="Calibri"/>
        </w:rPr>
        <w:t>.;</w:t>
      </w:r>
      <w:r w:rsidRPr="00581A6C">
        <w:t xml:space="preserve"> </w:t>
      </w:r>
      <w:r w:rsidRPr="00F854F4">
        <w:t xml:space="preserve">powyższe nie dotyczy powszechnie występujących na rynku oraz standardowo stosowanych przez </w:t>
      </w:r>
      <w:r>
        <w:t xml:space="preserve">Biłgorajską Agencję Rozwoju Regionalnego S.A., Polską Fundację Ośrodków Wspomagania Rozwoju Gospodarczego „OIC Poland” oraz Fundację „Puławskie Centrum Przedsiębiorczości” </w:t>
      </w:r>
      <w:r w:rsidRPr="00F854F4">
        <w:t xml:space="preserve">zabezpieczeń ustanawianych przez </w:t>
      </w:r>
      <w:r>
        <w:t xml:space="preserve">Pożyczkobiorcę </w:t>
      </w:r>
      <w:r w:rsidRPr="00F854F4">
        <w:t xml:space="preserve">na rzecz </w:t>
      </w:r>
      <w:r>
        <w:t>Biłgorajskiej Agencji Rozwoju Regionalnego S.A., Polskiej Fundacji Ośrodków Wspomagania Rozwoju Gospodarczego „OIC Poland” oraz Fundacji „Puławskie Centrum Przedsiębiorczości”</w:t>
      </w:r>
      <w:r w:rsidRPr="00581A6C">
        <w:t xml:space="preserve"> </w:t>
      </w:r>
      <w:r w:rsidRPr="00F854F4">
        <w:t>w</w:t>
      </w:r>
      <w:r>
        <w:t> </w:t>
      </w:r>
      <w:r w:rsidRPr="00F854F4">
        <w:t xml:space="preserve">związku z zawieraną umową </w:t>
      </w:r>
      <w:r>
        <w:t>Pożyczki</w:t>
      </w:r>
      <w:r w:rsidRPr="00F854F4">
        <w:t xml:space="preserve">, z zastrzeżeniem, iż w przypadku zabezpieczenia takiego jak „cesja praw z polisy ubezpieczeniowej” </w:t>
      </w:r>
      <w:r>
        <w:t xml:space="preserve">Pożyczkobiorca </w:t>
      </w:r>
      <w:r w:rsidRPr="00F854F4">
        <w:t>ma</w:t>
      </w:r>
      <w:r>
        <w:t> </w:t>
      </w:r>
      <w:r w:rsidRPr="00F854F4">
        <w:t>możliwość wyboru oferty spośród ubezpieczycieli dostępnych na rynku.</w:t>
      </w:r>
    </w:p>
    <w:p w14:paraId="10D1FA62" w14:textId="77777777" w:rsidR="0013510B" w:rsidRDefault="0013510B" w:rsidP="0013510B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CB2422">
        <w:t>Wydatkowanie środków Pożyczki musi zostać należycie udokumentowane w</w:t>
      </w:r>
      <w:r>
        <w:t xml:space="preserve"> terminie do 90 </w:t>
      </w:r>
      <w:r w:rsidRPr="00CB2422">
        <w:t xml:space="preserve">dni od </w:t>
      </w:r>
      <w:r w:rsidRPr="00DF3D76">
        <w:t>dnia wypłaty całkowitej kwoty Pożyczki</w:t>
      </w:r>
      <w:r>
        <w:t>, przy czym termin ten dotyczy daty wystawienia dokumentów potwierdzających wydatkowanie środków</w:t>
      </w:r>
      <w:r w:rsidRPr="00CB2422">
        <w:t xml:space="preserve">. W uzasadnionych przypadkach, na wniosek </w:t>
      </w:r>
      <w:r>
        <w:t xml:space="preserve">Pożyczkobiorcy </w:t>
      </w:r>
      <w:r w:rsidRPr="00A71CC9">
        <w:rPr>
          <w:rFonts w:ascii="Calibri" w:hAnsi="Calibri"/>
        </w:rPr>
        <w:lastRenderedPageBreak/>
        <w:t>Biłgorajsk</w:t>
      </w:r>
      <w:r>
        <w:rPr>
          <w:rFonts w:ascii="Calibri" w:hAnsi="Calibri"/>
        </w:rPr>
        <w:t>a</w:t>
      </w:r>
      <w:r w:rsidRPr="00A71CC9">
        <w:rPr>
          <w:rFonts w:ascii="Calibri" w:hAnsi="Calibri"/>
        </w:rPr>
        <w:t xml:space="preserve"> Agencj</w:t>
      </w:r>
      <w:r>
        <w:rPr>
          <w:rFonts w:ascii="Calibri" w:hAnsi="Calibri"/>
        </w:rPr>
        <w:t>a</w:t>
      </w:r>
      <w:r w:rsidRPr="00A71CC9">
        <w:rPr>
          <w:rFonts w:ascii="Calibri" w:hAnsi="Calibri"/>
        </w:rPr>
        <w:t xml:space="preserve"> Rozwoju Regionalnego S.A., Polsk</w:t>
      </w:r>
      <w:r>
        <w:rPr>
          <w:rFonts w:ascii="Calibri" w:hAnsi="Calibri"/>
        </w:rPr>
        <w:t>a</w:t>
      </w:r>
      <w:r w:rsidRPr="00A71CC9">
        <w:rPr>
          <w:rFonts w:ascii="Calibri" w:hAnsi="Calibri"/>
        </w:rPr>
        <w:t xml:space="preserve"> Fundacj</w:t>
      </w:r>
      <w:r>
        <w:rPr>
          <w:rFonts w:ascii="Calibri" w:hAnsi="Calibri"/>
        </w:rPr>
        <w:t>a</w:t>
      </w:r>
      <w:r w:rsidRPr="00A71CC9">
        <w:rPr>
          <w:rFonts w:ascii="Calibri" w:hAnsi="Calibri"/>
        </w:rPr>
        <w:t xml:space="preserve"> Ośrodków Wspomagania Rozwoju Gospodarczego „OIC Poland” oraz Fundacj</w:t>
      </w:r>
      <w:r>
        <w:rPr>
          <w:rFonts w:ascii="Calibri" w:hAnsi="Calibri"/>
        </w:rPr>
        <w:t>a</w:t>
      </w:r>
      <w:r w:rsidRPr="00A71CC9">
        <w:rPr>
          <w:rFonts w:ascii="Calibri" w:hAnsi="Calibri"/>
        </w:rPr>
        <w:t xml:space="preserve"> „Puławskie Centrum Przedsiębiorczości”</w:t>
      </w:r>
      <w:r>
        <w:rPr>
          <w:rFonts w:ascii="Calibri" w:hAnsi="Calibri"/>
        </w:rPr>
        <w:t xml:space="preserve"> </w:t>
      </w:r>
      <w:r w:rsidRPr="00CB2422">
        <w:t>może zaakceptować wydłużenie tego terminu</w:t>
      </w:r>
      <w:r>
        <w:t xml:space="preserve"> maksymalnie o kolejne 90 </w:t>
      </w:r>
      <w:r w:rsidRPr="00CB2422">
        <w:t>dni</w:t>
      </w:r>
      <w:r>
        <w:t>, w tym biorąc pod uwagę</w:t>
      </w:r>
      <w:r w:rsidRPr="00CB2422">
        <w:t xml:space="preserve">  charakter inwestycji. </w:t>
      </w:r>
    </w:p>
    <w:p w14:paraId="627F34DA" w14:textId="77777777" w:rsidR="0013510B" w:rsidRDefault="0013510B" w:rsidP="0013510B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CB2422">
        <w:t>Dokumentem potwierdzającym wydatkowanie środków zgodnie z celem, na jaki zostały przyznane</w:t>
      </w:r>
      <w:r>
        <w:t>,</w:t>
      </w:r>
      <w:r w:rsidRPr="00CB2422">
        <w:t xml:space="preserve"> jest faktura lub dokument równoważny w rozumieniu przepisów prawa krajowego</w:t>
      </w:r>
      <w:r>
        <w:t xml:space="preserve">, </w:t>
      </w:r>
      <w:r w:rsidRPr="00D41963">
        <w:t xml:space="preserve">wystawiony nie wcześniej niż w dniu złożenia wniosku o udzielenie </w:t>
      </w:r>
      <w:r>
        <w:t>Pożyczki, wraz z odpowiednim dokumentem potwierdzającym dokonanie zapłaty</w:t>
      </w:r>
      <w:r w:rsidRPr="00D41963">
        <w:t xml:space="preserve">. </w:t>
      </w:r>
      <w:r w:rsidRPr="00122A9F">
        <w:t xml:space="preserve"> </w:t>
      </w:r>
      <w:r w:rsidRPr="00A71CC9">
        <w:rPr>
          <w:rFonts w:ascii="Calibri" w:hAnsi="Calibri"/>
        </w:rPr>
        <w:t>Biłgorajsk</w:t>
      </w:r>
      <w:r>
        <w:rPr>
          <w:rFonts w:ascii="Calibri" w:hAnsi="Calibri"/>
        </w:rPr>
        <w:t>a</w:t>
      </w:r>
      <w:r w:rsidRPr="00A71CC9">
        <w:rPr>
          <w:rFonts w:ascii="Calibri" w:hAnsi="Calibri"/>
        </w:rPr>
        <w:t xml:space="preserve"> Agencj</w:t>
      </w:r>
      <w:r>
        <w:rPr>
          <w:rFonts w:ascii="Calibri" w:hAnsi="Calibri"/>
        </w:rPr>
        <w:t>a</w:t>
      </w:r>
      <w:r w:rsidRPr="00A71CC9">
        <w:rPr>
          <w:rFonts w:ascii="Calibri" w:hAnsi="Calibri"/>
        </w:rPr>
        <w:t xml:space="preserve"> Rozwoju Regionalnego S.A., Polsk</w:t>
      </w:r>
      <w:r>
        <w:rPr>
          <w:rFonts w:ascii="Calibri" w:hAnsi="Calibri"/>
        </w:rPr>
        <w:t>a</w:t>
      </w:r>
      <w:r w:rsidRPr="00A71CC9">
        <w:rPr>
          <w:rFonts w:ascii="Calibri" w:hAnsi="Calibri"/>
        </w:rPr>
        <w:t xml:space="preserve"> Fundacj</w:t>
      </w:r>
      <w:r>
        <w:rPr>
          <w:rFonts w:ascii="Calibri" w:hAnsi="Calibri"/>
        </w:rPr>
        <w:t>a</w:t>
      </w:r>
      <w:r w:rsidRPr="00A71CC9">
        <w:rPr>
          <w:rFonts w:ascii="Calibri" w:hAnsi="Calibri"/>
        </w:rPr>
        <w:t xml:space="preserve"> Ośrodków Wspomagania Rozwoju Gospodarczego „OIC Poland” oraz Fundacj</w:t>
      </w:r>
      <w:r>
        <w:rPr>
          <w:rFonts w:ascii="Calibri" w:hAnsi="Calibri"/>
        </w:rPr>
        <w:t>a</w:t>
      </w:r>
      <w:r w:rsidRPr="00A71CC9">
        <w:rPr>
          <w:rFonts w:ascii="Calibri" w:hAnsi="Calibri"/>
        </w:rPr>
        <w:t xml:space="preserve"> „Puławskie Centrum Przedsiębiorczości” </w:t>
      </w:r>
      <w:r w:rsidRPr="00122A9F">
        <w:t xml:space="preserve">jeżeli uzna to za zasadne, ma prawo żądać od </w:t>
      </w:r>
      <w:r>
        <w:t>Pożyczkobiorcy</w:t>
      </w:r>
      <w:r w:rsidRPr="00122A9F">
        <w:t xml:space="preserve"> dodatkowych dokumentów potwierdzających realizację </w:t>
      </w:r>
      <w:r>
        <w:t>inwestycji</w:t>
      </w:r>
      <w:r w:rsidRPr="00122A9F">
        <w:t xml:space="preserve"> lub wydatkowanie Pożyczki zgodnie z celem na jaki została przyznana.</w:t>
      </w:r>
    </w:p>
    <w:p w14:paraId="17F02770" w14:textId="6FC16A2D" w:rsidR="00674F4F" w:rsidRPr="009F1B82" w:rsidRDefault="00674F4F" w:rsidP="00122A9F">
      <w:pPr>
        <w:pStyle w:val="Akapitzlist"/>
        <w:numPr>
          <w:ilvl w:val="0"/>
          <w:numId w:val="12"/>
        </w:numPr>
        <w:spacing w:after="120" w:line="23" w:lineRule="atLeast"/>
        <w:ind w:left="360"/>
        <w:contextualSpacing w:val="0"/>
        <w:jc w:val="both"/>
      </w:pPr>
      <w:r w:rsidRPr="009F1B82">
        <w:t xml:space="preserve">W przypadku dokonywania w ramach Inwestycji płatności w formie gotówkowej, płatności takie dokonywane są z poszanowaniem art. 19 Ustawy z dnia </w:t>
      </w:r>
      <w:r w:rsidR="001A6572" w:rsidRPr="009F1B82">
        <w:t>6</w:t>
      </w:r>
      <w:r w:rsidRPr="009F1B82">
        <w:t xml:space="preserve"> marca 2018 r. Prawo przedsiębiorców lub aktu zastępującego</w:t>
      </w:r>
      <w:r w:rsidR="00122A9F" w:rsidRPr="009F1B82">
        <w:t>, pod rygorem uznania tego rodzaju płatności jako wydatki niekwalifikowalne</w:t>
      </w:r>
      <w:r w:rsidRPr="009F1B82">
        <w:t xml:space="preserve">. </w:t>
      </w:r>
    </w:p>
    <w:p w14:paraId="0026BE3E" w14:textId="7E42DDF7" w:rsidR="006E6C0F" w:rsidRPr="009F1B82" w:rsidRDefault="006E6C0F" w:rsidP="006B26B1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9F1B82">
        <w:t xml:space="preserve">Wszelka dokumentacja potwierdzająca wydatkowanie środków przez </w:t>
      </w:r>
      <w:r w:rsidR="0069098E" w:rsidRPr="009F1B82">
        <w:t xml:space="preserve">Pożyczkobiorcę </w:t>
      </w:r>
      <w:r w:rsidRPr="009F1B82">
        <w:t xml:space="preserve">powinna być, co do zasady, sporządzona w języku polskim, a w przypadku dokumentów wystawianych w języku innym niż język polski, </w:t>
      </w:r>
      <w:r w:rsidR="00406134" w:rsidRPr="009F1B82">
        <w:t xml:space="preserve">w przypadku istnienia wątpliwości co do treści tych dokumentów, powinna zostać przetłumaczona na język polski. </w:t>
      </w:r>
    </w:p>
    <w:p w14:paraId="55C4FFD3" w14:textId="2FC32606" w:rsidR="001465A3" w:rsidRPr="009F1B82" w:rsidRDefault="001465A3" w:rsidP="006B26B1">
      <w:pPr>
        <w:pStyle w:val="Akapitzlist"/>
        <w:spacing w:after="120"/>
        <w:ind w:left="0"/>
        <w:contextualSpacing w:val="0"/>
        <w:jc w:val="both"/>
        <w:rPr>
          <w:b/>
        </w:rPr>
      </w:pPr>
    </w:p>
    <w:p w14:paraId="426424DE" w14:textId="77777777" w:rsidR="005D1585" w:rsidRPr="009F1B82" w:rsidRDefault="005D1585" w:rsidP="005D1585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b/>
        </w:rPr>
      </w:pPr>
      <w:r w:rsidRPr="009F1B82">
        <w:rPr>
          <w:b/>
        </w:rPr>
        <w:t>Cesja wierzytelności i zabezpieczeń</w:t>
      </w:r>
    </w:p>
    <w:p w14:paraId="16E7217C" w14:textId="77777777" w:rsidR="005D1585" w:rsidRPr="009F1B82" w:rsidRDefault="005D1585" w:rsidP="005D1585">
      <w:pPr>
        <w:pStyle w:val="Akapitzlist"/>
        <w:numPr>
          <w:ilvl w:val="0"/>
          <w:numId w:val="36"/>
        </w:numPr>
        <w:ind w:left="426"/>
        <w:jc w:val="both"/>
      </w:pPr>
      <w:r w:rsidRPr="009F1B82">
        <w:t>Pożyczkobiorca przyjmuje do wiadomości, że Pożyczkodawca dokonał przelewu na rzecz Banku Gospodarstwa Krajowego wierzytelności Pożyczkodawcy z tytułu zawartej przez Pożyczkobiorcę umowy pożyczki oraz ustanowionych przez niego zabezpieczeń.</w:t>
      </w:r>
    </w:p>
    <w:p w14:paraId="3BFC4B71" w14:textId="664A38DA" w:rsidR="005D1585" w:rsidRPr="009F1B82" w:rsidRDefault="005D1585" w:rsidP="005D1585">
      <w:pPr>
        <w:pStyle w:val="Akapitzlist"/>
        <w:numPr>
          <w:ilvl w:val="0"/>
          <w:numId w:val="36"/>
        </w:numPr>
        <w:ind w:left="426"/>
        <w:jc w:val="both"/>
      </w:pPr>
      <w:r w:rsidRPr="009F1B82">
        <w:t>Przelew wierzytelności Pożyczkobiorcy na rzecz Banku Gospodarstwa Krajowego dokonany został z</w:t>
      </w:r>
      <w:r w:rsidR="00C36827" w:rsidRPr="009F1B82">
        <w:t> </w:t>
      </w:r>
      <w:r w:rsidRPr="009F1B82">
        <w:t>tzw. warunkiem zawieszającym, tj. skutek prawny tego przelewu, wystąpi z chwilą zajścia okoliczności określonych w umowie zawartej pomiędzy Pożyczkodawcą a Bankiem Gospodarstwa Krajowego, o czym Pożyczkobiorca poinformowany zostanie przez Pożyczkodawcę lub przez Bank Gospodarstwa Krajowego w drodze pisemnej.</w:t>
      </w:r>
    </w:p>
    <w:p w14:paraId="58E70D22" w14:textId="20946CB4" w:rsidR="005D1585" w:rsidRPr="009F1B82" w:rsidRDefault="005D1585" w:rsidP="005D1585">
      <w:pPr>
        <w:pStyle w:val="Akapitzlist"/>
        <w:numPr>
          <w:ilvl w:val="0"/>
          <w:numId w:val="36"/>
        </w:numPr>
        <w:ind w:left="426"/>
        <w:jc w:val="both"/>
      </w:pPr>
      <w:r w:rsidRPr="009F1B82">
        <w:t>Zawiadomienie o którym mowa w pkt. 2 powyżej zawierało będzie informacje dotyczące w</w:t>
      </w:r>
      <w:r w:rsidR="00C36827" w:rsidRPr="009F1B82">
        <w:t> </w:t>
      </w:r>
      <w:r w:rsidRPr="009F1B82">
        <w:t>szczególności obowiązku spłaty przez Pożyczkobiorcę rat kapitałowych i odsetek wynikających z</w:t>
      </w:r>
      <w:r w:rsidR="00C36827" w:rsidRPr="009F1B82">
        <w:t> </w:t>
      </w:r>
      <w:r w:rsidRPr="009F1B82">
        <w:t>harmonogramu spłat jak i innych płatności wynikających z umowy pożyczki, na nowy rachunek wskazany przez Bank Gospodarstwa Krajowego.</w:t>
      </w:r>
    </w:p>
    <w:p w14:paraId="6C9691FD" w14:textId="32EFBE73" w:rsidR="005D1585" w:rsidRPr="009F1B82" w:rsidRDefault="005D1585" w:rsidP="005D1585">
      <w:pPr>
        <w:pStyle w:val="Akapitzlist"/>
        <w:numPr>
          <w:ilvl w:val="0"/>
          <w:numId w:val="36"/>
        </w:numPr>
        <w:ind w:left="426"/>
        <w:jc w:val="both"/>
      </w:pPr>
      <w:r w:rsidRPr="009F1B82">
        <w:t>Bank Gospodarstwa Krajowego ma prawo do dokonania dalszych przelewów wymienionych powyżej wierzytelności wraz z zabezpieczeniami na inny podmiot.</w:t>
      </w:r>
    </w:p>
    <w:p w14:paraId="4AF2C08B" w14:textId="4FC00CA0" w:rsidR="00EC07BB" w:rsidRPr="009F1B82" w:rsidRDefault="00EC07BB" w:rsidP="007E7CD4">
      <w:pPr>
        <w:pStyle w:val="Akapitzlist"/>
        <w:keepNext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b/>
        </w:rPr>
      </w:pPr>
      <w:r w:rsidRPr="009F1B82">
        <w:rPr>
          <w:b/>
        </w:rPr>
        <w:t>Przeznaczenie finansowania (Cele Inwestycji)</w:t>
      </w:r>
    </w:p>
    <w:p w14:paraId="79B4EC59" w14:textId="539B9BC0" w:rsidR="00962304" w:rsidRPr="009F1B82" w:rsidRDefault="00FD2C5B" w:rsidP="00A02C72">
      <w:pPr>
        <w:keepNext/>
        <w:numPr>
          <w:ilvl w:val="0"/>
          <w:numId w:val="31"/>
        </w:numPr>
        <w:spacing w:before="120" w:after="120" w:line="240" w:lineRule="auto"/>
        <w:ind w:left="426" w:hanging="357"/>
        <w:jc w:val="both"/>
        <w:rPr>
          <w:rFonts w:ascii="Calibri" w:eastAsia="Times New Roman" w:hAnsi="Calibri" w:cs="Times New Roman"/>
          <w:iCs/>
          <w:lang w:eastAsia="pl-PL"/>
        </w:rPr>
      </w:pPr>
      <w:r w:rsidRPr="009F1B82">
        <w:rPr>
          <w:rFonts w:ascii="Calibri" w:eastAsia="Times New Roman" w:hAnsi="Calibri" w:cs="Times New Roman"/>
          <w:iCs/>
          <w:lang w:eastAsia="pl-PL"/>
        </w:rPr>
        <w:t>Z Pożyczek finansowane są</w:t>
      </w:r>
      <w:r w:rsidR="000F0392" w:rsidRPr="009F1B82">
        <w:rPr>
          <w:rFonts w:ascii="Calibri" w:eastAsia="Times New Roman" w:hAnsi="Calibri" w:cs="Times New Roman"/>
          <w:iCs/>
          <w:lang w:eastAsia="pl-PL"/>
        </w:rPr>
        <w:t xml:space="preserve"> inwestycje na terenie województwa </w:t>
      </w:r>
      <w:r w:rsidR="00962304" w:rsidRPr="009F1B82">
        <w:rPr>
          <w:rFonts w:ascii="Calibri" w:eastAsia="Times New Roman" w:hAnsi="Calibri" w:cs="Times New Roman"/>
          <w:iCs/>
          <w:lang w:eastAsia="pl-PL"/>
        </w:rPr>
        <w:t>Lubelskiego</w:t>
      </w:r>
      <w:r w:rsidRPr="009F1B82">
        <w:rPr>
          <w:rFonts w:ascii="Calibri" w:eastAsia="Times New Roman" w:hAnsi="Calibri" w:cs="Times New Roman"/>
          <w:iCs/>
          <w:lang w:eastAsia="pl-PL"/>
        </w:rPr>
        <w:t xml:space="preserve">, </w:t>
      </w:r>
      <w:r w:rsidR="000F0392" w:rsidRPr="009F1B82">
        <w:rPr>
          <w:rFonts w:ascii="Calibri" w:eastAsia="Times New Roman" w:hAnsi="Calibri" w:cs="Times New Roman"/>
          <w:iCs/>
          <w:lang w:eastAsia="pl-PL"/>
        </w:rPr>
        <w:t>związane z</w:t>
      </w:r>
      <w:r w:rsidR="00962304" w:rsidRPr="009F1B82">
        <w:rPr>
          <w:rFonts w:ascii="Calibri" w:eastAsia="Times New Roman" w:hAnsi="Calibri" w:cs="Times New Roman"/>
          <w:iCs/>
          <w:lang w:eastAsia="pl-PL"/>
        </w:rPr>
        <w:t>e wsparciem dla MŚP dotyczącym inwestycji początkowej</w:t>
      </w:r>
      <w:r w:rsidR="00962304" w:rsidRPr="009F1B82">
        <w:t xml:space="preserve"> </w:t>
      </w:r>
      <w:r w:rsidR="00962304" w:rsidRPr="009F1B82">
        <w:rPr>
          <w:rFonts w:ascii="Calibri" w:eastAsia="Times New Roman" w:hAnsi="Calibri" w:cs="Times New Roman"/>
          <w:iCs/>
          <w:lang w:eastAsia="pl-PL"/>
        </w:rPr>
        <w:t>związanej z wyposażeniem/ doposażeniem przedsiębiorstwa w celu wprowadzenia na rynek nowych/udoskonalonych produktów/usług/technologii, jako dodatkowy element projektów wsparcie zastosowania nowoczesnych technologii IT.</w:t>
      </w:r>
    </w:p>
    <w:p w14:paraId="5E2D09E6" w14:textId="77777777" w:rsidR="00074FF3" w:rsidRPr="009F1B82" w:rsidRDefault="00074FF3" w:rsidP="00074FF3">
      <w:pPr>
        <w:numPr>
          <w:ilvl w:val="0"/>
          <w:numId w:val="31"/>
        </w:numPr>
        <w:spacing w:before="40" w:after="40"/>
        <w:ind w:left="426"/>
        <w:jc w:val="both"/>
        <w:rPr>
          <w:iCs/>
          <w:lang w:eastAsia="pl-PL"/>
        </w:rPr>
      </w:pPr>
      <w:r w:rsidRPr="009F1B82">
        <w:rPr>
          <w:iCs/>
          <w:lang w:eastAsia="pl-PL"/>
        </w:rPr>
        <w:t>Jednostkowa Pożyczka może finansować do 100% wydatków w ramach Inwestycji Końcowej.</w:t>
      </w:r>
    </w:p>
    <w:p w14:paraId="00E1A635" w14:textId="034A880E" w:rsidR="00074FF3" w:rsidRPr="009F1B82" w:rsidRDefault="00074FF3" w:rsidP="00074FF3">
      <w:pPr>
        <w:numPr>
          <w:ilvl w:val="0"/>
          <w:numId w:val="31"/>
        </w:numPr>
        <w:spacing w:before="40" w:after="40"/>
        <w:ind w:left="428"/>
        <w:jc w:val="both"/>
        <w:rPr>
          <w:iCs/>
          <w:lang w:eastAsia="pl-PL"/>
        </w:rPr>
      </w:pPr>
      <w:r w:rsidRPr="009F1B82">
        <w:rPr>
          <w:iCs/>
          <w:lang w:eastAsia="pl-PL"/>
        </w:rPr>
        <w:lastRenderedPageBreak/>
        <w:t>Jednostkowa Pożyczka finansuje wydatki w kwotach brutto, tj. z podatkiem VAT z zastrzeżeniem ust. 4 i 5.</w:t>
      </w:r>
    </w:p>
    <w:p w14:paraId="6BB1F713" w14:textId="77777777" w:rsidR="00074FF3" w:rsidRPr="009F1B82" w:rsidRDefault="00074FF3" w:rsidP="00074FF3">
      <w:pPr>
        <w:numPr>
          <w:ilvl w:val="0"/>
          <w:numId w:val="31"/>
        </w:numPr>
        <w:spacing w:before="40" w:after="40"/>
        <w:ind w:left="428"/>
        <w:jc w:val="both"/>
        <w:rPr>
          <w:iCs/>
          <w:lang w:eastAsia="pl-PL"/>
        </w:rPr>
      </w:pPr>
      <w:r w:rsidRPr="009F1B82">
        <w:rPr>
          <w:iCs/>
          <w:lang w:eastAsia="pl-PL"/>
        </w:rPr>
        <w:t>Dopuszczalność finansowania podatku VAT w ramach Jednostkowych Pożyczek może podlegać dodatkowym ograniczeniom wynikającym z zasad udzielania pomocy publicznej.</w:t>
      </w:r>
    </w:p>
    <w:p w14:paraId="25607A1C" w14:textId="77777777" w:rsidR="00074FF3" w:rsidRPr="009F1B82" w:rsidRDefault="00074FF3" w:rsidP="00074FF3">
      <w:pPr>
        <w:numPr>
          <w:ilvl w:val="0"/>
          <w:numId w:val="31"/>
        </w:numPr>
        <w:spacing w:before="40" w:after="40"/>
        <w:ind w:left="426"/>
        <w:jc w:val="both"/>
        <w:rPr>
          <w:iCs/>
          <w:lang w:eastAsia="pl-PL"/>
        </w:rPr>
      </w:pPr>
      <w:r w:rsidRPr="009F1B82">
        <w:t>W przypadku łączenia Jednostkowych Pożyczek z innym finansowaniem, należy przestrzegać zasad określonych w sekcji 3.9.3 Wytycznych dotyczących kwalifikowalności wydatków na lata 2021 - 2027 oraz właściwych przepisów dotyczących pomocy publicznej.</w:t>
      </w:r>
    </w:p>
    <w:p w14:paraId="1DE8D720" w14:textId="77777777" w:rsidR="000F0392" w:rsidRPr="009F1B82" w:rsidRDefault="000F0392" w:rsidP="00E9225B">
      <w:pPr>
        <w:spacing w:after="0"/>
        <w:jc w:val="both"/>
      </w:pPr>
    </w:p>
    <w:p w14:paraId="21C965B1" w14:textId="7F76EEA4" w:rsidR="00614CDD" w:rsidRPr="009F1B82" w:rsidRDefault="00614CDD" w:rsidP="006B26B1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b/>
        </w:rPr>
      </w:pPr>
      <w:r w:rsidRPr="009F1B82">
        <w:rPr>
          <w:b/>
        </w:rPr>
        <w:t>Wykluczenia z finansowania</w:t>
      </w:r>
    </w:p>
    <w:p w14:paraId="464EFFD5" w14:textId="19354AA8" w:rsidR="00614CDD" w:rsidRPr="009F1B82" w:rsidRDefault="00112915" w:rsidP="006B26B1">
      <w:pPr>
        <w:pStyle w:val="Akapitzlist"/>
        <w:numPr>
          <w:ilvl w:val="0"/>
          <w:numId w:val="29"/>
        </w:numPr>
        <w:spacing w:after="120"/>
        <w:ind w:left="426" w:hanging="426"/>
        <w:contextualSpacing w:val="0"/>
        <w:jc w:val="both"/>
      </w:pPr>
      <w:r w:rsidRPr="009F1B82">
        <w:t>Środki z Pożyczki nie mogą być przeznaczone na:</w:t>
      </w:r>
    </w:p>
    <w:p w14:paraId="71E1F04C" w14:textId="77777777" w:rsidR="00FB4979" w:rsidRPr="009F1B82" w:rsidRDefault="00FB4979" w:rsidP="009F1B82">
      <w:pPr>
        <w:pStyle w:val="Akapitzlist"/>
        <w:numPr>
          <w:ilvl w:val="0"/>
          <w:numId w:val="42"/>
        </w:numPr>
        <w:spacing w:after="120" w:line="23" w:lineRule="atLeast"/>
        <w:contextualSpacing w:val="0"/>
        <w:jc w:val="both"/>
      </w:pPr>
      <w:r w:rsidRPr="009F1B82">
        <w:t>wydatki i inwestycje objęte wyłączeniem ze wsparcia z Europejskiego Funduszu Rozwoju Regionalnego, wskazanym w art. 7 ust. 1 Rozporządzenia EFRR;</w:t>
      </w:r>
    </w:p>
    <w:p w14:paraId="03CC8129" w14:textId="77777777" w:rsidR="00FB4979" w:rsidRPr="009F1B82" w:rsidRDefault="00FB4979" w:rsidP="009F1B82">
      <w:pPr>
        <w:pStyle w:val="Akapitzlist"/>
        <w:numPr>
          <w:ilvl w:val="0"/>
          <w:numId w:val="42"/>
        </w:numPr>
        <w:spacing w:after="120" w:line="23" w:lineRule="atLeast"/>
        <w:contextualSpacing w:val="0"/>
        <w:jc w:val="both"/>
      </w:pPr>
      <w:r w:rsidRPr="009F1B82">
        <w:t>wydatki wspierające przeniesienie produkcji, o którym mowa w art. 66 Rozporządzenia Ogólnego;</w:t>
      </w:r>
    </w:p>
    <w:p w14:paraId="5783A496" w14:textId="77777777" w:rsidR="00FB4979" w:rsidRPr="009F1B82" w:rsidRDefault="00FB4979" w:rsidP="009F1B82">
      <w:pPr>
        <w:pStyle w:val="Akapitzlist"/>
        <w:numPr>
          <w:ilvl w:val="0"/>
          <w:numId w:val="42"/>
        </w:numPr>
        <w:spacing w:after="120" w:line="23" w:lineRule="atLeast"/>
        <w:contextualSpacing w:val="0"/>
        <w:jc w:val="both"/>
      </w:pPr>
      <w:r w:rsidRPr="009F1B82">
        <w:t>spłatę odsetek od zadłużenia, o których mowa w art. 64 ust. 1 lit. a Rozporządzenia Ogólnego;</w:t>
      </w:r>
    </w:p>
    <w:p w14:paraId="704DEC26" w14:textId="77777777" w:rsidR="00FB4979" w:rsidRPr="009F1B82" w:rsidRDefault="00FB4979" w:rsidP="009F1B82">
      <w:pPr>
        <w:pStyle w:val="Akapitzlist"/>
        <w:numPr>
          <w:ilvl w:val="0"/>
          <w:numId w:val="42"/>
        </w:numPr>
        <w:spacing w:after="120" w:line="23" w:lineRule="atLeast"/>
        <w:contextualSpacing w:val="0"/>
        <w:jc w:val="both"/>
      </w:pPr>
      <w:r w:rsidRPr="009F1B82">
        <w:t xml:space="preserve">prefinansowanie wydatków, w części, na którą Ostateczny Odbiorca otrzymał dofinansowanie </w:t>
      </w:r>
      <w:r w:rsidRPr="009F1B82">
        <w:br/>
        <w:t>w formie dotacji;</w:t>
      </w:r>
    </w:p>
    <w:p w14:paraId="78696FF4" w14:textId="77777777" w:rsidR="00FB4979" w:rsidRPr="009F1B82" w:rsidRDefault="00FB4979" w:rsidP="009F1B82">
      <w:pPr>
        <w:pStyle w:val="Akapitzlist"/>
        <w:numPr>
          <w:ilvl w:val="0"/>
          <w:numId w:val="42"/>
        </w:numPr>
        <w:spacing w:after="120" w:line="23" w:lineRule="atLeast"/>
        <w:contextualSpacing w:val="0"/>
        <w:jc w:val="both"/>
      </w:pPr>
      <w:r w:rsidRPr="009F1B82">
        <w:t>refinansowanie pożyczek, kredytów, leasingu lub innych form finansowania, z których korzysta Ostateczny Odbiorca;</w:t>
      </w:r>
    </w:p>
    <w:p w14:paraId="7FF8D11B" w14:textId="77777777" w:rsidR="00FB4979" w:rsidRPr="009F1B82" w:rsidRDefault="00FB4979" w:rsidP="009F1B82">
      <w:pPr>
        <w:pStyle w:val="Akapitzlist"/>
        <w:numPr>
          <w:ilvl w:val="0"/>
          <w:numId w:val="42"/>
        </w:numPr>
        <w:spacing w:after="120" w:line="23" w:lineRule="atLeast"/>
        <w:contextualSpacing w:val="0"/>
        <w:jc w:val="both"/>
      </w:pPr>
      <w:r w:rsidRPr="009F1B82">
        <w:t>finansowanie zakupu aktywów finansowych przeznaczonych do obrotu lub lokowania kapitału;</w:t>
      </w:r>
    </w:p>
    <w:p w14:paraId="077B078D" w14:textId="77777777" w:rsidR="00FB4979" w:rsidRPr="009F1B82" w:rsidRDefault="00FB4979" w:rsidP="009F1B82">
      <w:pPr>
        <w:pStyle w:val="Akapitzlist"/>
        <w:numPr>
          <w:ilvl w:val="0"/>
          <w:numId w:val="42"/>
        </w:numPr>
        <w:spacing w:after="120" w:line="23" w:lineRule="atLeast"/>
        <w:contextualSpacing w:val="0"/>
        <w:jc w:val="both"/>
      </w:pPr>
      <w:r w:rsidRPr="009F1B82">
        <w:t>finansowanie zakupu nieruchomości przeznaczonych do obrotu lub stanowiących lokatę kapitału;</w:t>
      </w:r>
    </w:p>
    <w:p w14:paraId="15DD60C0" w14:textId="77777777" w:rsidR="00FB4979" w:rsidRPr="009F1B82" w:rsidRDefault="00FB4979" w:rsidP="00FB4979">
      <w:pPr>
        <w:spacing w:after="120" w:line="23" w:lineRule="atLeast"/>
        <w:ind w:left="567"/>
        <w:jc w:val="both"/>
      </w:pPr>
      <w:r w:rsidRPr="009F1B82">
        <w:t>oraz inne wydatki niekwalifikowane wskazane w podrozdziale 2.3 Wytycznych dotyczących kwalifikowalności wydatków na lata 2021 – 2027.</w:t>
      </w:r>
    </w:p>
    <w:p w14:paraId="2DCF4E58" w14:textId="77777777" w:rsidR="00EC07BB" w:rsidRPr="009F1B82" w:rsidRDefault="00EC07BB" w:rsidP="006B26B1">
      <w:pPr>
        <w:spacing w:after="120"/>
        <w:jc w:val="both"/>
      </w:pPr>
    </w:p>
    <w:p w14:paraId="67C7B005" w14:textId="77777777" w:rsidR="00C94198" w:rsidRPr="009F1B82" w:rsidRDefault="00C94198" w:rsidP="006B26B1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b/>
        </w:rPr>
      </w:pPr>
      <w:r w:rsidRPr="009F1B82">
        <w:rPr>
          <w:b/>
        </w:rPr>
        <w:t>Ograniczenia w finansowaniu</w:t>
      </w:r>
    </w:p>
    <w:p w14:paraId="72B8A680" w14:textId="6FB4F339" w:rsidR="00CE36D6" w:rsidRPr="009F1B82" w:rsidRDefault="00C94198" w:rsidP="006B26B1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jc w:val="both"/>
      </w:pPr>
      <w:r w:rsidRPr="009F1B82">
        <w:t xml:space="preserve">Finansowanie zakupu gruntów niezabudowanych i zabudowanych w ramach finansowanej inwestycji możliwe jest do wysokości 10 % </w:t>
      </w:r>
      <w:r w:rsidR="00143B24" w:rsidRPr="009F1B82">
        <w:t>środków</w:t>
      </w:r>
      <w:r w:rsidR="002341C7" w:rsidRPr="009F1B82">
        <w:t xml:space="preserve"> </w:t>
      </w:r>
      <w:r w:rsidRPr="009F1B82">
        <w:t>wypłacon</w:t>
      </w:r>
      <w:r w:rsidR="00143B24" w:rsidRPr="009F1B82">
        <w:t>ych</w:t>
      </w:r>
      <w:r w:rsidRPr="009F1B82">
        <w:t xml:space="preserve"> na rzecz </w:t>
      </w:r>
      <w:r w:rsidR="0069098E" w:rsidRPr="009F1B82">
        <w:t>Pożyczkobiorcy</w:t>
      </w:r>
      <w:r w:rsidRPr="009F1B82">
        <w:t>.</w:t>
      </w:r>
    </w:p>
    <w:p w14:paraId="49F558DA" w14:textId="5F1116E5" w:rsidR="00803C5D" w:rsidRPr="009F1B82" w:rsidRDefault="00803C5D" w:rsidP="00803C5D">
      <w:pPr>
        <w:pStyle w:val="Akapitzlist"/>
        <w:numPr>
          <w:ilvl w:val="0"/>
          <w:numId w:val="6"/>
        </w:numPr>
        <w:spacing w:after="120" w:line="23" w:lineRule="atLeast"/>
        <w:ind w:left="426" w:hanging="426"/>
        <w:jc w:val="both"/>
      </w:pPr>
      <w:r w:rsidRPr="009F1B82">
        <w:t>Finansowanie kapitału obrotowego jest możliwe do wysokości 50% Jednostkowej Pożyczki, przy czym przeznaczenie kapitału obrotowego musi być bezpośrednio związane z realizacją Inwestycji Końcowej oraz niezbędne do zapewnienia ciągłości działania Ostatecznego Odbiorcy.</w:t>
      </w:r>
      <w:r w:rsidR="009F1B82" w:rsidRPr="009F1B82">
        <w:t xml:space="preserve"> </w:t>
      </w:r>
      <w:r w:rsidRPr="009F1B82">
        <w:t xml:space="preserve">W przypadku Jednostkowych Pożyczek udzielanych na zasadach korzystniejszych niż rynkowe finansowanie kapitału obrotowego  odbywa się wyłącznie w formie pomocy de </w:t>
      </w:r>
      <w:proofErr w:type="spellStart"/>
      <w:r w:rsidRPr="009F1B82">
        <w:t>minimis</w:t>
      </w:r>
      <w:proofErr w:type="spellEnd"/>
      <w:r w:rsidRPr="009F1B82">
        <w:t xml:space="preserve">. Niedopuszczalne jest finansowanie ze środków pożyczki wydatków obejmujących w szczególności: </w:t>
      </w:r>
    </w:p>
    <w:p w14:paraId="34736391" w14:textId="77777777" w:rsidR="00FD34A3" w:rsidRPr="009F1B82" w:rsidRDefault="00FD34A3" w:rsidP="00FB4979">
      <w:pPr>
        <w:pStyle w:val="Akapitzlist"/>
        <w:numPr>
          <w:ilvl w:val="1"/>
          <w:numId w:val="6"/>
        </w:numPr>
        <w:spacing w:after="120"/>
        <w:ind w:left="993"/>
        <w:jc w:val="both"/>
      </w:pPr>
      <w:r w:rsidRPr="009F1B82">
        <w:t>wynagrodzenia pracowników (w tym także składowe należne ZUS, US) oraz koszty personelu pracującego na terenie firmy, ale formalnie na liście płac podwykonawców,</w:t>
      </w:r>
    </w:p>
    <w:p w14:paraId="44ED5D26" w14:textId="71EE3DBB" w:rsidR="00EC07BB" w:rsidRPr="009F1B82" w:rsidRDefault="00FD34A3" w:rsidP="00FB4979">
      <w:pPr>
        <w:pStyle w:val="Akapitzlist"/>
        <w:numPr>
          <w:ilvl w:val="1"/>
          <w:numId w:val="6"/>
        </w:numPr>
        <w:spacing w:after="120"/>
        <w:ind w:left="993"/>
        <w:jc w:val="both"/>
      </w:pPr>
      <w:r w:rsidRPr="009F1B82">
        <w:t>zobowiązania publiczno-prawne Ostatecznego Odbiorcy.</w:t>
      </w:r>
    </w:p>
    <w:p w14:paraId="09F204AF" w14:textId="77777777" w:rsidR="00321353" w:rsidRPr="009F1B82" w:rsidRDefault="00321353" w:rsidP="00FB4979">
      <w:pPr>
        <w:pStyle w:val="Akapitzlist"/>
        <w:numPr>
          <w:ilvl w:val="0"/>
          <w:numId w:val="6"/>
        </w:numPr>
        <w:spacing w:after="120" w:line="23" w:lineRule="atLeast"/>
        <w:ind w:left="426"/>
        <w:jc w:val="both"/>
      </w:pPr>
      <w:r w:rsidRPr="009F1B82">
        <w:t>Wydatkując środki Jednostkowej Pożyczki Ostateczny Obiorca nie może doprowadzić do wystąpienia przypadku podwójnego – całkowitego albo częściowego – sfinansowania ponoszonych wydatków ze środków Unii Europejskiej, a także innych źródeł pomocy krajowej i zagranicznej.</w:t>
      </w:r>
    </w:p>
    <w:p w14:paraId="7C1B17D0" w14:textId="77777777" w:rsidR="005F3EAE" w:rsidRPr="009F1B82" w:rsidRDefault="005F3EAE" w:rsidP="006B26B1">
      <w:pPr>
        <w:spacing w:after="120"/>
        <w:ind w:left="426" w:hanging="426"/>
        <w:jc w:val="both"/>
        <w:rPr>
          <w:b/>
        </w:rPr>
      </w:pPr>
    </w:p>
    <w:p w14:paraId="366D8A23" w14:textId="1ACE554B" w:rsidR="005C057F" w:rsidRPr="009F1B82" w:rsidRDefault="005C057F" w:rsidP="006B26B1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b/>
        </w:rPr>
      </w:pPr>
      <w:r w:rsidRPr="009F1B82">
        <w:rPr>
          <w:b/>
        </w:rPr>
        <w:t xml:space="preserve">Zasady </w:t>
      </w:r>
      <w:r w:rsidR="00EE07F6" w:rsidRPr="009F1B82">
        <w:rPr>
          <w:b/>
        </w:rPr>
        <w:t xml:space="preserve">odpłatności za udzielenie </w:t>
      </w:r>
      <w:r w:rsidR="00A21B2D" w:rsidRPr="009F1B82">
        <w:rPr>
          <w:b/>
        </w:rPr>
        <w:t xml:space="preserve">Pożyczki </w:t>
      </w:r>
      <w:r w:rsidR="00AA22B3" w:rsidRPr="009F1B82">
        <w:rPr>
          <w:b/>
        </w:rPr>
        <w:t>rozwojowej</w:t>
      </w:r>
    </w:p>
    <w:p w14:paraId="2359390F" w14:textId="150D4B73" w:rsidR="001D353E" w:rsidRPr="009F1B82" w:rsidRDefault="00A21B2D" w:rsidP="006B26B1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</w:pPr>
      <w:r w:rsidRPr="009F1B82">
        <w:lastRenderedPageBreak/>
        <w:t xml:space="preserve">Pożyczka </w:t>
      </w:r>
      <w:r w:rsidR="00EE07F6" w:rsidRPr="009F1B82">
        <w:t>mo</w:t>
      </w:r>
      <w:r w:rsidR="00FD1A3D" w:rsidRPr="009F1B82">
        <w:t>że</w:t>
      </w:r>
      <w:r w:rsidR="00EE07F6" w:rsidRPr="009F1B82">
        <w:t xml:space="preserve"> być </w:t>
      </w:r>
      <w:r w:rsidR="00FD1A3D" w:rsidRPr="009F1B82">
        <w:t>oprocentowana</w:t>
      </w:r>
      <w:r w:rsidR="005C057F" w:rsidRPr="009F1B82">
        <w:t>:</w:t>
      </w:r>
    </w:p>
    <w:p w14:paraId="30EEADD8" w14:textId="41145FD6" w:rsidR="00D30604" w:rsidRPr="009F1B82" w:rsidRDefault="00D30604" w:rsidP="006B26B1">
      <w:pPr>
        <w:pStyle w:val="Akapitzlist"/>
        <w:numPr>
          <w:ilvl w:val="0"/>
          <w:numId w:val="15"/>
        </w:numPr>
        <w:spacing w:after="120"/>
        <w:ind w:left="993" w:hanging="426"/>
        <w:contextualSpacing w:val="0"/>
        <w:jc w:val="both"/>
      </w:pPr>
      <w:r w:rsidRPr="009F1B82">
        <w:rPr>
          <w:b/>
        </w:rPr>
        <w:t>na warunkach rynkowych</w:t>
      </w:r>
      <w:r w:rsidRPr="009F1B82">
        <w:t xml:space="preserve">, </w:t>
      </w:r>
      <w:r w:rsidRPr="009F1B82">
        <w:rPr>
          <w:u w:val="single"/>
        </w:rPr>
        <w:t>według stopy referencyjnej</w:t>
      </w:r>
      <w:r w:rsidRPr="009F1B82">
        <w:t xml:space="preserve"> obliczanej przy zastosowaniu obowiązującej stopy bazowej oraz marży ustalonej w oparciu o </w:t>
      </w:r>
      <w:r w:rsidRPr="009F1B82">
        <w:rPr>
          <w:iCs/>
        </w:rPr>
        <w:t>Komunikat Komisji Europejskiej w sprawie zmiany metody ustalania stóp referencyjnych i dyskontowych</w:t>
      </w:r>
      <w:r w:rsidRPr="009F1B82">
        <w:rPr>
          <w:i/>
          <w:iCs/>
        </w:rPr>
        <w:t xml:space="preserve"> </w:t>
      </w:r>
      <w:r w:rsidRPr="009F1B82">
        <w:t>(Dz. Urz. UE C 14 z</w:t>
      </w:r>
      <w:r w:rsidR="00C36827" w:rsidRPr="009F1B82">
        <w:t> </w:t>
      </w:r>
      <w:r w:rsidRPr="009F1B82">
        <w:t xml:space="preserve">19.1.2008 r. lub komunikatu zastępującego) oraz po przeprowadzeniu analizy ryzyka niespłacenia zaciągniętego przez przedsiębiorcę zobowiązania </w:t>
      </w:r>
      <w:r w:rsidRPr="009F1B82">
        <w:rPr>
          <w:bCs/>
        </w:rPr>
        <w:t xml:space="preserve">na podstawie wdrożonej i akceptowanej w sektorze finansowym metodologii wyznaczania współczynnika ryzyka. </w:t>
      </w:r>
    </w:p>
    <w:p w14:paraId="68081929" w14:textId="607A762D" w:rsidR="00A543DB" w:rsidRPr="009F1B82" w:rsidRDefault="00BB66EA" w:rsidP="006B26B1">
      <w:pPr>
        <w:pStyle w:val="Akapitzlist"/>
        <w:spacing w:after="120"/>
        <w:ind w:left="993"/>
        <w:contextualSpacing w:val="0"/>
        <w:jc w:val="both"/>
        <w:rPr>
          <w:b/>
        </w:rPr>
      </w:pPr>
      <w:r w:rsidRPr="009F1B82">
        <w:rPr>
          <w:b/>
        </w:rPr>
        <w:t xml:space="preserve">Stopa bazowa </w:t>
      </w:r>
      <w:r w:rsidR="008D7DD7" w:rsidRPr="009F1B82">
        <w:rPr>
          <w:b/>
        </w:rPr>
        <w:t>publikowana jest</w:t>
      </w:r>
      <w:r w:rsidRPr="009F1B82">
        <w:rPr>
          <w:b/>
        </w:rPr>
        <w:t xml:space="preserve"> przez Komisję</w:t>
      </w:r>
      <w:r w:rsidR="008D7DD7" w:rsidRPr="009F1B82">
        <w:rPr>
          <w:b/>
        </w:rPr>
        <w:t xml:space="preserve"> Europejską w dzienniku Urzędowym Unii Europejskiej i dostępna jest na stronie: </w:t>
      </w:r>
    </w:p>
    <w:p w14:paraId="123A451F" w14:textId="631EC958" w:rsidR="008D7DD7" w:rsidRPr="009F1B82" w:rsidRDefault="005A03C1" w:rsidP="006B26B1">
      <w:pPr>
        <w:pStyle w:val="Akapitzlist"/>
        <w:spacing w:after="120"/>
        <w:ind w:left="993"/>
        <w:contextualSpacing w:val="0"/>
        <w:jc w:val="both"/>
      </w:pPr>
      <w:hyperlink r:id="rId8" w:history="1">
        <w:r w:rsidR="008D7DD7" w:rsidRPr="009F1B82">
          <w:rPr>
            <w:rStyle w:val="Hipercze"/>
          </w:rPr>
          <w:t>http://ec.europa.eu/competition/state_aid/legislation/reference_rates.html</w:t>
        </w:r>
      </w:hyperlink>
    </w:p>
    <w:p w14:paraId="3F3B5441" w14:textId="57D8123B" w:rsidR="008D7DD7" w:rsidRPr="009F1B82" w:rsidRDefault="008D7DD7" w:rsidP="006B26B1">
      <w:pPr>
        <w:pStyle w:val="Akapitzlist"/>
        <w:spacing w:after="120"/>
        <w:ind w:left="993"/>
        <w:contextualSpacing w:val="0"/>
        <w:jc w:val="both"/>
      </w:pPr>
      <w:r w:rsidRPr="009F1B82">
        <w:t>oraz</w:t>
      </w:r>
    </w:p>
    <w:p w14:paraId="2F1F1E3F" w14:textId="4A1FCD36" w:rsidR="008D7DD7" w:rsidRPr="009F1B82" w:rsidRDefault="005A03C1" w:rsidP="006B26B1">
      <w:pPr>
        <w:pStyle w:val="Akapitzlist"/>
        <w:spacing w:after="120"/>
        <w:ind w:left="993"/>
        <w:contextualSpacing w:val="0"/>
        <w:jc w:val="both"/>
      </w:pPr>
      <w:hyperlink r:id="rId9" w:history="1">
        <w:r w:rsidR="008D7DD7" w:rsidRPr="009F1B82">
          <w:rPr>
            <w:rStyle w:val="Hipercze"/>
          </w:rPr>
          <w:t>https://uokik.gov.pl/stopa_referencyjna_i_archiwum.php</w:t>
        </w:r>
      </w:hyperlink>
    </w:p>
    <w:p w14:paraId="4BAA0849" w14:textId="48775ABC" w:rsidR="006A5D7E" w:rsidRPr="009F1B82" w:rsidRDefault="00EC07BB" w:rsidP="00ED2787">
      <w:pPr>
        <w:numPr>
          <w:ilvl w:val="0"/>
          <w:numId w:val="15"/>
        </w:numPr>
        <w:spacing w:after="120"/>
        <w:ind w:left="993"/>
        <w:jc w:val="both"/>
        <w:rPr>
          <w:b/>
        </w:rPr>
      </w:pPr>
      <w:r w:rsidRPr="009F1B82">
        <w:rPr>
          <w:b/>
        </w:rPr>
        <w:t>na warunkach korzystniejszych niż rynkowe</w:t>
      </w:r>
      <w:r w:rsidR="006A5D7E" w:rsidRPr="009F1B82">
        <w:t xml:space="preserve"> </w:t>
      </w:r>
      <w:r w:rsidR="00402AF0" w:rsidRPr="009F1B82">
        <w:t>w wysokości</w:t>
      </w:r>
      <w:r w:rsidR="006A5D7E" w:rsidRPr="009F1B82">
        <w:t xml:space="preserve"> 2%  w skali roku</w:t>
      </w:r>
      <w:r w:rsidR="00402AF0" w:rsidRPr="009F1B82">
        <w:t xml:space="preserve"> – </w:t>
      </w:r>
      <w:r w:rsidR="00402AF0" w:rsidRPr="009F1B82">
        <w:rPr>
          <w:b/>
        </w:rPr>
        <w:t>oprocentowanie stałe</w:t>
      </w:r>
      <w:r w:rsidR="006A5D7E" w:rsidRPr="009F1B82">
        <w:rPr>
          <w:b/>
        </w:rPr>
        <w:t xml:space="preserve">.  </w:t>
      </w:r>
    </w:p>
    <w:p w14:paraId="550CBD39" w14:textId="77777777" w:rsidR="006A5D7E" w:rsidRPr="009F1B82" w:rsidRDefault="006A5D7E" w:rsidP="006A5D7E">
      <w:pPr>
        <w:spacing w:after="120"/>
        <w:ind w:left="993"/>
        <w:jc w:val="both"/>
      </w:pPr>
      <w:r w:rsidRPr="009F1B82">
        <w:t xml:space="preserve">W przypadku </w:t>
      </w:r>
      <w:r w:rsidRPr="009F1B82">
        <w:rPr>
          <w:u w:val="single"/>
        </w:rPr>
        <w:t>obniżenia stopy bazowej określonej przez Komisję Europejską</w:t>
      </w:r>
      <w:r w:rsidRPr="009F1B82">
        <w:t xml:space="preserve"> do poziomu poniżej 2% oprocentowanie Jednostkowej Pożyczki udzielanej na zasadach korzystniejszych niż rynkowe jest stałe w całym okresie jej obowiązywania i ustalone jest w wysokości stopy bazowej dla pożyczek udzielanych w złotych polskich z dnia udzielenia, przy czym wysokość stopy bazowej określona jest przez Komisję Europejską zgodnie z Komunikatem w sprawie zmiany metody ustalania stóp referencyjnych i dyskontowych nr 2008/C 14/02..</w:t>
      </w:r>
      <w:r w:rsidRPr="009F1B82" w:rsidDel="0042137D">
        <w:t xml:space="preserve"> </w:t>
      </w:r>
    </w:p>
    <w:p w14:paraId="18D18E01" w14:textId="77777777" w:rsidR="00402AF0" w:rsidRPr="009F1B82" w:rsidRDefault="00402AF0" w:rsidP="00402AF0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ind w:left="426" w:hanging="426"/>
        <w:jc w:val="both"/>
      </w:pPr>
      <w:r w:rsidRPr="009F1B82">
        <w:t>Jednostkowe Pożyczki podlegające regułom pomocy publicznej mogą być udzielane w formie:</w:t>
      </w:r>
    </w:p>
    <w:p w14:paraId="3A418365" w14:textId="77777777" w:rsidR="00402AF0" w:rsidRPr="009F1B82" w:rsidRDefault="00402AF0" w:rsidP="00402AF0">
      <w:pPr>
        <w:pStyle w:val="Akapitzlist"/>
        <w:numPr>
          <w:ilvl w:val="0"/>
          <w:numId w:val="39"/>
        </w:numPr>
      </w:pPr>
      <w:r w:rsidRPr="009F1B82">
        <w:t xml:space="preserve">pomocy de </w:t>
      </w:r>
      <w:proofErr w:type="spellStart"/>
      <w:r w:rsidRPr="009F1B82">
        <w:t>minimis</w:t>
      </w:r>
      <w:proofErr w:type="spellEnd"/>
      <w:r w:rsidRPr="009F1B82">
        <w:t xml:space="preserve"> w rozumieniu Rozporządzenia Komisji (UE) nr 1407/2013 z dnia 18 grudnia 2013 r. lub </w:t>
      </w:r>
    </w:p>
    <w:p w14:paraId="7E5A9B05" w14:textId="77777777" w:rsidR="00402AF0" w:rsidRPr="009F1B82" w:rsidRDefault="00402AF0" w:rsidP="00402AF0">
      <w:pPr>
        <w:pStyle w:val="Akapitzlist"/>
        <w:numPr>
          <w:ilvl w:val="0"/>
          <w:numId w:val="39"/>
        </w:numPr>
      </w:pPr>
      <w:r w:rsidRPr="009F1B82">
        <w:t xml:space="preserve">regionalnej pomocy inwestycyjnej w rozumieniu Rozporządzenia Komisji (UE) nr 651/2014            z dnia 17 czerwca 2014 r. </w:t>
      </w:r>
      <w:bookmarkStart w:id="1" w:name="_Hlk144303578"/>
      <w:r w:rsidRPr="009F1B82">
        <w:t>uznającego niektóre rodzaje pomocy za zgodne z rynkiem wewnętrznym w zastosowaniu art. 107 i 108 Traktatu;</w:t>
      </w:r>
      <w:bookmarkEnd w:id="1"/>
    </w:p>
    <w:p w14:paraId="74FA0D25" w14:textId="178E41F5" w:rsidR="00402AF0" w:rsidRPr="009F1B82" w:rsidRDefault="00402AF0" w:rsidP="00ED2787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spacing w:after="120" w:line="23" w:lineRule="atLeast"/>
        <w:jc w:val="both"/>
      </w:pPr>
      <w:r w:rsidRPr="009F1B82">
        <w:t xml:space="preserve">W przypadkach o których mowa w ust. 2 Jednostkowe Pożyczki udzielane są odpowiednio na zasadach i warunkach określonych: </w:t>
      </w:r>
    </w:p>
    <w:p w14:paraId="37D727DF" w14:textId="77777777" w:rsidR="00402AF0" w:rsidRPr="009F1B82" w:rsidRDefault="00402AF0" w:rsidP="00402AF0">
      <w:pPr>
        <w:pStyle w:val="Akapitzlist"/>
        <w:numPr>
          <w:ilvl w:val="0"/>
          <w:numId w:val="40"/>
        </w:numPr>
        <w:spacing w:after="120" w:line="23" w:lineRule="atLeast"/>
        <w:jc w:val="both"/>
      </w:pPr>
      <w:r w:rsidRPr="009F1B82">
        <w:t xml:space="preserve">dla pomocy de </w:t>
      </w:r>
      <w:proofErr w:type="spellStart"/>
      <w:r w:rsidRPr="009F1B82">
        <w:t>minimis</w:t>
      </w:r>
      <w:proofErr w:type="spellEnd"/>
      <w:r w:rsidRPr="009F1B82">
        <w:t xml:space="preserve">  - w Rozporządzeniu Komisji (UE) nr 1407/2013 z dnia 18 grudnia 2013 r. w sprawie stosowania art. 107 i 108 Traktatu o funkcjonowaniu Unii Europejskiej do pomocy de </w:t>
      </w:r>
      <w:proofErr w:type="spellStart"/>
      <w:r w:rsidRPr="009F1B82">
        <w:t>minimis</w:t>
      </w:r>
      <w:proofErr w:type="spellEnd"/>
      <w:r w:rsidRPr="009F1B82">
        <w:t xml:space="preserve"> oraz Rozporządzeniu Ministra Funduszy i Polityki Regionalnej z dnia 29 września 2022 r. w sprawie udzielania pomocy de </w:t>
      </w:r>
      <w:proofErr w:type="spellStart"/>
      <w:r w:rsidRPr="009F1B82">
        <w:t>minimis</w:t>
      </w:r>
      <w:proofErr w:type="spellEnd"/>
      <w:r w:rsidRPr="009F1B82">
        <w:t xml:space="preserve"> w ramach regionalnych programów na lata 2021-2027;</w:t>
      </w:r>
    </w:p>
    <w:p w14:paraId="10DF8A1D" w14:textId="77777777" w:rsidR="00803C5D" w:rsidRPr="009F1B82" w:rsidRDefault="00803C5D" w:rsidP="00803C5D">
      <w:pPr>
        <w:pStyle w:val="Akapitzlist"/>
        <w:numPr>
          <w:ilvl w:val="0"/>
          <w:numId w:val="40"/>
        </w:numPr>
        <w:spacing w:after="120" w:line="23" w:lineRule="atLeast"/>
        <w:jc w:val="both"/>
      </w:pPr>
      <w:r w:rsidRPr="009F1B82">
        <w:t xml:space="preserve">dla regionalnej pomocy inwestycyjnej - w Rozporządzeniu Komisji (UE) nr 651/2014 z dnia 17 czerwca 2014 r. uznającym niektóre rodzaje pomocy za zgodne z rynkiem wewnętrznym w zastosowaniu art. 107 i 108 Traktatu oraz rozporządzeniu Ministra Funduszy i Polityki Regionalnej z dnia 7 października 2022 r. w sprawie udzielania regionalnej pomocy inwestycyjnej w ramach celu polityki CP1 (iii) w zakresie wzmacniania trwałego wzrostu i konkurencyjności </w:t>
      </w:r>
      <w:proofErr w:type="spellStart"/>
      <w:r w:rsidRPr="009F1B82">
        <w:t>mikroprzedsiębiorców</w:t>
      </w:r>
      <w:proofErr w:type="spellEnd"/>
      <w:r w:rsidRPr="009F1B82">
        <w:t xml:space="preserve">, małych i średnich przedsiębiorców oraz tworzenia miejsc pracy w mikroprzedsiębiorstwach, małych i średnich przedsiębiorstwach, w tym poprzez inwestycje produkcyjne w ramach regionalnych programów na lata 2021–2027. (Dz. U. z 2022 r. poz. 2150 z </w:t>
      </w:r>
      <w:proofErr w:type="spellStart"/>
      <w:r w:rsidRPr="009F1B82">
        <w:t>późn</w:t>
      </w:r>
      <w:proofErr w:type="spellEnd"/>
      <w:r w:rsidRPr="009F1B82">
        <w:t>. zm.).</w:t>
      </w:r>
    </w:p>
    <w:p w14:paraId="22064D48" w14:textId="6BA4A1B1" w:rsidR="00402AF0" w:rsidRPr="009F1B82" w:rsidRDefault="00402AF0" w:rsidP="00ED2787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3" w:lineRule="atLeast"/>
        <w:jc w:val="both"/>
      </w:pPr>
      <w:r w:rsidRPr="009F1B82">
        <w:lastRenderedPageBreak/>
        <w:t xml:space="preserve">Formy pomocy, o których mowa w ust. </w:t>
      </w:r>
      <w:r w:rsidR="00EF3ABD" w:rsidRPr="009F1B82">
        <w:t>2</w:t>
      </w:r>
      <w:r w:rsidRPr="009F1B82">
        <w:t xml:space="preserve"> mogą być łączone w ramach Inwestycji Końcowej przy zachowaniu zasad kumulacji określonych w art. 8 Rozporządzenia Komisji (UE) nr 651/2014 z dnia 17 czerwca 2014 r. uznającego niektóre rodzaje pomocy za zgodne z rynkiem wewnętrznym w zastosowaniu art. 107 i 108 Traktatu;</w:t>
      </w:r>
    </w:p>
    <w:p w14:paraId="6B6667C0" w14:textId="30D32750" w:rsidR="00EC07BB" w:rsidRPr="009F1B82" w:rsidRDefault="00EC07BB" w:rsidP="006B26B1">
      <w:pPr>
        <w:pStyle w:val="Akapitzlist"/>
        <w:numPr>
          <w:ilvl w:val="0"/>
          <w:numId w:val="2"/>
        </w:numPr>
        <w:tabs>
          <w:tab w:val="num" w:pos="426"/>
        </w:tabs>
        <w:spacing w:after="120"/>
        <w:ind w:left="426" w:hanging="426"/>
        <w:contextualSpacing w:val="0"/>
        <w:jc w:val="both"/>
      </w:pPr>
      <w:r w:rsidRPr="009F1B82">
        <w:rPr>
          <w:rFonts w:cs="Times New Roman"/>
        </w:rPr>
        <w:t>W przypadku</w:t>
      </w:r>
      <w:r w:rsidRPr="009F1B82">
        <w:t xml:space="preserve"> niespełnienia przez </w:t>
      </w:r>
      <w:r w:rsidR="0069098E" w:rsidRPr="009F1B82">
        <w:t xml:space="preserve">Pożyczkobiorcę </w:t>
      </w:r>
      <w:r w:rsidRPr="009F1B82">
        <w:t xml:space="preserve">jakiegokolwiek z warunków umożliwiających udzielenie pomocy de </w:t>
      </w:r>
      <w:proofErr w:type="spellStart"/>
      <w:r w:rsidRPr="009F1B82">
        <w:t>minimis</w:t>
      </w:r>
      <w:proofErr w:type="spellEnd"/>
      <w:r w:rsidR="002E5E80" w:rsidRPr="009F1B82">
        <w:t>/pomocy publicznej</w:t>
      </w:r>
      <w:r w:rsidRPr="009F1B82">
        <w:t xml:space="preserve"> finansowanie jest udzielane na zasadach rynkowych.</w:t>
      </w:r>
    </w:p>
    <w:p w14:paraId="7F7A4B49" w14:textId="77777777" w:rsidR="000F0148" w:rsidRPr="009F1B82" w:rsidRDefault="000F0148" w:rsidP="000F0148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pacing w:after="120" w:line="23" w:lineRule="atLeast"/>
        <w:ind w:left="426" w:hanging="426"/>
        <w:jc w:val="both"/>
      </w:pPr>
      <w:r w:rsidRPr="009F1B82">
        <w:t>W ramach udzielanych Jednostkowych Pożyczek nie występują opłaty związane z udzieleniem pożyczki i jej standardową obsługą. Czynności wykraczające poza ten zakres, przede wszystkim w przypadku niewywiązywania się przez Ostatecznego Odbiorcę z warunków Umowy Inwestycyjnej, występowania zaległości w spłacie, konieczności podejmowania działań windykacyjnych (zgodnie z postanowieniami Umowy) mogą przyczynić się do wystąpienia dodatkowych kosztów po stronie Ostatecznego Odbiorcy, co Partner Finansujący powinien określić w postanowieniach Umów Inwestycyjnych.</w:t>
      </w:r>
    </w:p>
    <w:p w14:paraId="2E745BB0" w14:textId="77777777" w:rsidR="00FB4979" w:rsidRPr="009F1B82" w:rsidRDefault="00FB4979" w:rsidP="00FB4979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after="120" w:line="23" w:lineRule="atLeast"/>
        <w:ind w:left="426" w:hanging="426"/>
        <w:jc w:val="both"/>
      </w:pPr>
      <w:r w:rsidRPr="009F1B82">
        <w:t>W przypadku wejścia w życie:</w:t>
      </w:r>
    </w:p>
    <w:p w14:paraId="40EE33A6" w14:textId="77777777" w:rsidR="00FB4979" w:rsidRPr="009F1B82" w:rsidRDefault="00FB4979" w:rsidP="00FB4979">
      <w:pPr>
        <w:numPr>
          <w:ilvl w:val="0"/>
          <w:numId w:val="41"/>
        </w:numPr>
        <w:spacing w:after="120" w:line="23" w:lineRule="atLeast"/>
        <w:jc w:val="both"/>
      </w:pPr>
      <w:r w:rsidRPr="009F1B82">
        <w:t xml:space="preserve">dodatkowych aktów normatywnych regulujących zasady udzielania pomocy de </w:t>
      </w:r>
      <w:proofErr w:type="spellStart"/>
      <w:r w:rsidRPr="009F1B82">
        <w:t>minimis</w:t>
      </w:r>
      <w:proofErr w:type="spellEnd"/>
      <w:r w:rsidRPr="009F1B82">
        <w:t xml:space="preserve"> lub pomocy publicznej dotyczących typów inwestycji końcowych wymienionych w pkt IV Karty Produktu albo </w:t>
      </w:r>
    </w:p>
    <w:p w14:paraId="0D403070" w14:textId="77777777" w:rsidR="00FB4979" w:rsidRPr="009F1B82" w:rsidRDefault="00FB4979" w:rsidP="00FB4979">
      <w:pPr>
        <w:numPr>
          <w:ilvl w:val="0"/>
          <w:numId w:val="41"/>
        </w:numPr>
        <w:spacing w:after="120" w:line="23" w:lineRule="atLeast"/>
        <w:jc w:val="both"/>
      </w:pPr>
      <w:r w:rsidRPr="009F1B82">
        <w:t xml:space="preserve">aktów normatywnych zastępujących akty wymienione w ust. 3 a i b </w:t>
      </w:r>
    </w:p>
    <w:p w14:paraId="728EF6F3" w14:textId="77777777" w:rsidR="00FB4979" w:rsidRPr="009F1B82" w:rsidRDefault="00FB4979" w:rsidP="00FB4979">
      <w:pPr>
        <w:spacing w:after="120" w:line="23" w:lineRule="atLeast"/>
        <w:jc w:val="both"/>
      </w:pPr>
      <w:r w:rsidRPr="009F1B82">
        <w:t>Jednostkowe Pożyczki będą mogły być udzielane zgodnie z zasadami i warunkami określonymi w tych aktach, tym samym, wniosek o pożyczkę (bez względu na formę pomocy) musi zawierać wymagane informacje określone we właściwym akcie normatywnym, na podstawie którego udzielana będzie pomoc.</w:t>
      </w:r>
    </w:p>
    <w:p w14:paraId="2B97B8E1" w14:textId="77777777" w:rsidR="004E6364" w:rsidRPr="009F1B82" w:rsidRDefault="004E6364" w:rsidP="004E6364">
      <w:pPr>
        <w:tabs>
          <w:tab w:val="num" w:pos="426"/>
        </w:tabs>
        <w:spacing w:after="12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</w:tblGrid>
      <w:tr w:rsidR="004E6364" w:rsidRPr="009F1B82" w14:paraId="292BE5BA" w14:textId="74D682DC" w:rsidTr="004E6364">
        <w:tc>
          <w:tcPr>
            <w:tcW w:w="3212" w:type="dxa"/>
            <w:tcBorders>
              <w:bottom w:val="dotted" w:sz="4" w:space="0" w:color="auto"/>
            </w:tcBorders>
          </w:tcPr>
          <w:p w14:paraId="6F56E2D3" w14:textId="3B36344B" w:rsidR="004E6364" w:rsidRPr="009F1B82" w:rsidRDefault="004E6364" w:rsidP="004E6364">
            <w:pPr>
              <w:tabs>
                <w:tab w:val="num" w:pos="426"/>
              </w:tabs>
              <w:spacing w:after="120"/>
              <w:jc w:val="both"/>
            </w:pPr>
          </w:p>
        </w:tc>
      </w:tr>
      <w:tr w:rsidR="004E6364" w:rsidRPr="009F1B82" w14:paraId="44B09798" w14:textId="4D5A480A" w:rsidTr="004E6364">
        <w:tc>
          <w:tcPr>
            <w:tcW w:w="3212" w:type="dxa"/>
            <w:tcBorders>
              <w:top w:val="dotted" w:sz="4" w:space="0" w:color="auto"/>
            </w:tcBorders>
          </w:tcPr>
          <w:p w14:paraId="1418D8A8" w14:textId="6EC8A22A" w:rsidR="004E6364" w:rsidRPr="009F1B82" w:rsidRDefault="004E6364" w:rsidP="00511011">
            <w:pPr>
              <w:tabs>
                <w:tab w:val="num" w:pos="426"/>
              </w:tabs>
              <w:spacing w:after="120"/>
              <w:jc w:val="both"/>
              <w:rPr>
                <w:sz w:val="16"/>
                <w:szCs w:val="16"/>
              </w:rPr>
            </w:pPr>
            <w:r w:rsidRPr="009F1B82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Podpis </w:t>
            </w:r>
            <w:r w:rsidR="00511011" w:rsidRPr="009F1B82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pożyczkodawcy</w:t>
            </w:r>
          </w:p>
        </w:tc>
      </w:tr>
    </w:tbl>
    <w:p w14:paraId="014D0978" w14:textId="1B8A84C5" w:rsidR="004E6364" w:rsidRPr="009F1B82" w:rsidRDefault="004E6364" w:rsidP="004E6364">
      <w:pPr>
        <w:tabs>
          <w:tab w:val="num" w:pos="426"/>
        </w:tabs>
        <w:spacing w:after="120"/>
        <w:jc w:val="both"/>
      </w:pPr>
    </w:p>
    <w:p w14:paraId="3B6C3FC7" w14:textId="2C144AF1" w:rsidR="004E6364" w:rsidRPr="009F1B82" w:rsidRDefault="004E6364" w:rsidP="004E6364">
      <w:pPr>
        <w:tabs>
          <w:tab w:val="num" w:pos="426"/>
        </w:tabs>
        <w:spacing w:after="120"/>
        <w:jc w:val="both"/>
      </w:pPr>
    </w:p>
    <w:p w14:paraId="03FBD6B1" w14:textId="3DC4B5B8" w:rsidR="004E6364" w:rsidRPr="009F1B82" w:rsidRDefault="004E6364" w:rsidP="004E6364">
      <w:pPr>
        <w:tabs>
          <w:tab w:val="num" w:pos="426"/>
        </w:tabs>
        <w:spacing w:after="120"/>
        <w:jc w:val="both"/>
      </w:pPr>
      <w:r w:rsidRPr="009F1B82">
        <w:t>Oświadczam, iż zapoznałem się z treścią niniejszego dokumentu:</w:t>
      </w:r>
    </w:p>
    <w:p w14:paraId="0D02CB34" w14:textId="3E7C2DE8" w:rsidR="004E6364" w:rsidRPr="009F1B82" w:rsidRDefault="004E6364" w:rsidP="004E6364">
      <w:pPr>
        <w:tabs>
          <w:tab w:val="num" w:pos="426"/>
        </w:tabs>
        <w:spacing w:after="12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</w:tblGrid>
      <w:tr w:rsidR="004E6364" w:rsidRPr="009F1B82" w14:paraId="0E586003" w14:textId="5E72DBF2" w:rsidTr="004E6364"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27FE6C" w14:textId="3CFA03DC" w:rsidR="004E6364" w:rsidRPr="009F1B82" w:rsidRDefault="004E6364" w:rsidP="003A035B">
            <w:pPr>
              <w:tabs>
                <w:tab w:val="num" w:pos="426"/>
              </w:tabs>
              <w:spacing w:after="120"/>
              <w:jc w:val="both"/>
            </w:pPr>
          </w:p>
        </w:tc>
      </w:tr>
      <w:tr w:rsidR="004E6364" w14:paraId="03E504F5" w14:textId="4C3AEECC" w:rsidTr="004E6364">
        <w:tc>
          <w:tcPr>
            <w:tcW w:w="3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F68006B" w14:textId="3D038CBC" w:rsidR="004E6364" w:rsidRPr="004E6364" w:rsidRDefault="004E6364" w:rsidP="003E578E">
            <w:pPr>
              <w:tabs>
                <w:tab w:val="num" w:pos="426"/>
              </w:tabs>
              <w:spacing w:after="120"/>
              <w:jc w:val="both"/>
              <w:rPr>
                <w:sz w:val="16"/>
                <w:szCs w:val="16"/>
              </w:rPr>
            </w:pPr>
            <w:r w:rsidRPr="009F1B82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Podpis </w:t>
            </w:r>
            <w:r w:rsidR="003E578E" w:rsidRPr="009F1B82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pożyczkobiorcy</w:t>
            </w:r>
          </w:p>
        </w:tc>
      </w:tr>
    </w:tbl>
    <w:p w14:paraId="42D78444" w14:textId="77777777" w:rsidR="004E6364" w:rsidRPr="00F854F4" w:rsidRDefault="004E6364" w:rsidP="004E6364">
      <w:pPr>
        <w:tabs>
          <w:tab w:val="num" w:pos="426"/>
        </w:tabs>
        <w:spacing w:after="120"/>
        <w:jc w:val="both"/>
      </w:pPr>
    </w:p>
    <w:sectPr w:rsidR="004E6364" w:rsidRPr="00F854F4" w:rsidSect="006B26B1">
      <w:headerReference w:type="default" r:id="rId10"/>
      <w:footerReference w:type="default" r:id="rId11"/>
      <w:pgSz w:w="11906" w:h="16838"/>
      <w:pgMar w:top="1417" w:right="1133" w:bottom="1135" w:left="1276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37BE0" w14:textId="77777777" w:rsidR="006B3A5A" w:rsidRDefault="006B3A5A" w:rsidP="00BA3860">
      <w:pPr>
        <w:spacing w:after="0" w:line="240" w:lineRule="auto"/>
      </w:pPr>
      <w:r>
        <w:separator/>
      </w:r>
    </w:p>
  </w:endnote>
  <w:endnote w:type="continuationSeparator" w:id="0">
    <w:p w14:paraId="44B369BE" w14:textId="77777777" w:rsidR="006B3A5A" w:rsidRDefault="006B3A5A" w:rsidP="00BA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61526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ED2427E" w14:textId="777AEA00" w:rsidR="008C7448" w:rsidRDefault="008C7448">
            <w:pPr>
              <w:pStyle w:val="Stopka"/>
              <w:jc w:val="center"/>
            </w:pPr>
            <w:r w:rsidRPr="009342EF">
              <w:rPr>
                <w:noProof/>
                <w:sz w:val="20"/>
                <w:lang w:eastAsia="pl-PL"/>
              </w:rPr>
              <w:drawing>
                <wp:inline distT="0" distB="0" distL="0" distR="0" wp14:anchorId="2086C943" wp14:editId="7C3424F6">
                  <wp:extent cx="5276850" cy="558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ACBC1" w14:textId="0426CE37" w:rsidR="00F57684" w:rsidRDefault="00F576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03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03C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174086" w14:textId="77777777" w:rsidR="003E4B31" w:rsidRDefault="003E4B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A934A" w14:textId="77777777" w:rsidR="006B3A5A" w:rsidRDefault="006B3A5A" w:rsidP="00BA3860">
      <w:pPr>
        <w:spacing w:after="0" w:line="240" w:lineRule="auto"/>
      </w:pPr>
      <w:r>
        <w:separator/>
      </w:r>
    </w:p>
  </w:footnote>
  <w:footnote w:type="continuationSeparator" w:id="0">
    <w:p w14:paraId="0D0C506A" w14:textId="77777777" w:rsidR="006B3A5A" w:rsidRDefault="006B3A5A" w:rsidP="00BA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461E" w14:textId="2AAC551C" w:rsidR="00F57684" w:rsidRDefault="002C097C" w:rsidP="00242BE0">
    <w:pPr>
      <w:pStyle w:val="Nagwek"/>
      <w:jc w:val="right"/>
    </w:pP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 w:rsidR="00242BE0">
      <w:rPr>
        <w:noProof/>
        <w:lang w:eastAsia="pl-PL"/>
      </w:rPr>
      <w:drawing>
        <wp:inline distT="0" distB="0" distL="0" distR="0" wp14:anchorId="08F53731" wp14:editId="42530D9F">
          <wp:extent cx="1708745" cy="379563"/>
          <wp:effectExtent l="0" t="0" r="6350" b="1905"/>
          <wp:docPr id="5" name="Obraz 5" descr="P:\2014_2020\Promo_Info\0_Wlasne\Logotypy i szablony pism_prezentacje\BGK\BGK-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4_2020\Promo_Info\0_Wlasne\Logotypy i szablony pism_prezentacje\BGK\BGK-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375" cy="394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66E"/>
    <w:multiLevelType w:val="hybridMultilevel"/>
    <w:tmpl w:val="B2528560"/>
    <w:lvl w:ilvl="0" w:tplc="9E16351A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Times New Roman" w:hAnsi="Times New Roman" w:hint="default"/>
        <w:b w:val="0"/>
        <w:i w:val="0"/>
        <w:sz w:val="22"/>
      </w:rPr>
    </w:lvl>
    <w:lvl w:ilvl="1" w:tplc="234C911A">
      <w:start w:val="6"/>
      <w:numFmt w:val="upperRoman"/>
      <w:lvlText w:val="%2."/>
      <w:lvlJc w:val="left"/>
      <w:pPr>
        <w:tabs>
          <w:tab w:val="num" w:pos="-363"/>
        </w:tabs>
        <w:ind w:left="-363" w:hanging="357"/>
      </w:pPr>
      <w:rPr>
        <w:rFonts w:ascii="Thorndale AMT" w:hAnsi="Thorndale AMT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 w15:restartNumberingAfterBreak="0">
    <w:nsid w:val="0463065F"/>
    <w:multiLevelType w:val="hybridMultilevel"/>
    <w:tmpl w:val="9A0E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A50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1619D"/>
    <w:multiLevelType w:val="hybridMultilevel"/>
    <w:tmpl w:val="452E782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560"/>
    <w:multiLevelType w:val="hybridMultilevel"/>
    <w:tmpl w:val="C952D3F0"/>
    <w:lvl w:ilvl="0" w:tplc="F0C20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6FC1"/>
    <w:multiLevelType w:val="hybridMultilevel"/>
    <w:tmpl w:val="0F9AE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268E5"/>
    <w:multiLevelType w:val="hybridMultilevel"/>
    <w:tmpl w:val="05585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A7D64"/>
    <w:multiLevelType w:val="hybridMultilevel"/>
    <w:tmpl w:val="B336D3A4"/>
    <w:lvl w:ilvl="0" w:tplc="477A6EE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64D23"/>
    <w:multiLevelType w:val="hybridMultilevel"/>
    <w:tmpl w:val="E88CC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B927DB"/>
    <w:multiLevelType w:val="hybridMultilevel"/>
    <w:tmpl w:val="64B4C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2625"/>
    <w:multiLevelType w:val="hybridMultilevel"/>
    <w:tmpl w:val="C61CDD6C"/>
    <w:lvl w:ilvl="0" w:tplc="745A3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76A89"/>
    <w:multiLevelType w:val="hybridMultilevel"/>
    <w:tmpl w:val="472AA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C7CFD"/>
    <w:multiLevelType w:val="hybridMultilevel"/>
    <w:tmpl w:val="956021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1A55E6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802E4C"/>
    <w:multiLevelType w:val="hybridMultilevel"/>
    <w:tmpl w:val="64B4C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E468C"/>
    <w:multiLevelType w:val="hybridMultilevel"/>
    <w:tmpl w:val="4948BA9E"/>
    <w:lvl w:ilvl="0" w:tplc="204A29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AA4639"/>
    <w:multiLevelType w:val="hybridMultilevel"/>
    <w:tmpl w:val="11EE3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A5240"/>
    <w:multiLevelType w:val="hybridMultilevel"/>
    <w:tmpl w:val="3518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24171"/>
    <w:multiLevelType w:val="hybridMultilevel"/>
    <w:tmpl w:val="A04AB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C7C42"/>
    <w:multiLevelType w:val="hybridMultilevel"/>
    <w:tmpl w:val="9E1C37C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9281A06"/>
    <w:multiLevelType w:val="hybridMultilevel"/>
    <w:tmpl w:val="E84C6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E3523"/>
    <w:multiLevelType w:val="hybridMultilevel"/>
    <w:tmpl w:val="891214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0056390"/>
    <w:multiLevelType w:val="hybridMultilevel"/>
    <w:tmpl w:val="2C7E380A"/>
    <w:lvl w:ilvl="0" w:tplc="4D6EF7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9E3F86"/>
    <w:multiLevelType w:val="hybridMultilevel"/>
    <w:tmpl w:val="4BAA0C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EF5352"/>
    <w:multiLevelType w:val="hybridMultilevel"/>
    <w:tmpl w:val="683A19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375EC"/>
    <w:multiLevelType w:val="hybridMultilevel"/>
    <w:tmpl w:val="04B4DC36"/>
    <w:lvl w:ilvl="0" w:tplc="75D280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822EFB"/>
    <w:multiLevelType w:val="hybridMultilevel"/>
    <w:tmpl w:val="09FC4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D745A0"/>
    <w:multiLevelType w:val="hybridMultilevel"/>
    <w:tmpl w:val="E1D89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D3C6D"/>
    <w:multiLevelType w:val="hybridMultilevel"/>
    <w:tmpl w:val="CED07D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26771"/>
    <w:multiLevelType w:val="hybridMultilevel"/>
    <w:tmpl w:val="2974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522241"/>
    <w:multiLevelType w:val="hybridMultilevel"/>
    <w:tmpl w:val="8EF4B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A21A5A"/>
    <w:multiLevelType w:val="hybridMultilevel"/>
    <w:tmpl w:val="4C969F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66D7556"/>
    <w:multiLevelType w:val="hybridMultilevel"/>
    <w:tmpl w:val="6C242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D52897"/>
    <w:multiLevelType w:val="hybridMultilevel"/>
    <w:tmpl w:val="59DE0194"/>
    <w:lvl w:ilvl="0" w:tplc="75D2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95B48"/>
    <w:multiLevelType w:val="hybridMultilevel"/>
    <w:tmpl w:val="32369870"/>
    <w:lvl w:ilvl="0" w:tplc="FED026E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horndale AMT" w:hAnsi="Thorndale AMT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4"/>
  </w:num>
  <w:num w:numId="3">
    <w:abstractNumId w:val="0"/>
  </w:num>
  <w:num w:numId="4">
    <w:abstractNumId w:val="13"/>
  </w:num>
  <w:num w:numId="5">
    <w:abstractNumId w:val="23"/>
  </w:num>
  <w:num w:numId="6">
    <w:abstractNumId w:val="30"/>
  </w:num>
  <w:num w:numId="7">
    <w:abstractNumId w:val="22"/>
  </w:num>
  <w:num w:numId="8">
    <w:abstractNumId w:val="19"/>
  </w:num>
  <w:num w:numId="9">
    <w:abstractNumId w:val="31"/>
  </w:num>
  <w:num w:numId="10">
    <w:abstractNumId w:val="40"/>
  </w:num>
  <w:num w:numId="11">
    <w:abstractNumId w:val="5"/>
  </w:num>
  <w:num w:numId="12">
    <w:abstractNumId w:val="39"/>
  </w:num>
  <w:num w:numId="13">
    <w:abstractNumId w:val="25"/>
  </w:num>
  <w:num w:numId="14">
    <w:abstractNumId w:val="11"/>
  </w:num>
  <w:num w:numId="15">
    <w:abstractNumId w:val="9"/>
  </w:num>
  <w:num w:numId="16">
    <w:abstractNumId w:val="27"/>
  </w:num>
  <w:num w:numId="17">
    <w:abstractNumId w:val="37"/>
  </w:num>
  <w:num w:numId="18">
    <w:abstractNumId w:val="35"/>
  </w:num>
  <w:num w:numId="19">
    <w:abstractNumId w:val="15"/>
  </w:num>
  <w:num w:numId="20">
    <w:abstractNumId w:val="20"/>
  </w:num>
  <w:num w:numId="21">
    <w:abstractNumId w:val="16"/>
  </w:num>
  <w:num w:numId="22">
    <w:abstractNumId w:val="12"/>
  </w:num>
  <w:num w:numId="23">
    <w:abstractNumId w:val="3"/>
  </w:num>
  <w:num w:numId="24">
    <w:abstractNumId w:val="17"/>
  </w:num>
  <w:num w:numId="25">
    <w:abstractNumId w:val="2"/>
  </w:num>
  <w:num w:numId="26">
    <w:abstractNumId w:val="29"/>
  </w:num>
  <w:num w:numId="27">
    <w:abstractNumId w:val="10"/>
  </w:num>
  <w:num w:numId="28">
    <w:abstractNumId w:val="18"/>
  </w:num>
  <w:num w:numId="29">
    <w:abstractNumId w:val="32"/>
  </w:num>
  <w:num w:numId="30">
    <w:abstractNumId w:val="28"/>
  </w:num>
  <w:num w:numId="31">
    <w:abstractNumId w:val="14"/>
  </w:num>
  <w:num w:numId="32">
    <w:abstractNumId w:val="38"/>
  </w:num>
  <w:num w:numId="33">
    <w:abstractNumId w:val="7"/>
  </w:num>
  <w:num w:numId="34">
    <w:abstractNumId w:val="21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6"/>
  </w:num>
  <w:num w:numId="39">
    <w:abstractNumId w:val="36"/>
  </w:num>
  <w:num w:numId="40">
    <w:abstractNumId w:val="4"/>
  </w:num>
  <w:num w:numId="41">
    <w:abstractNumId w:val="24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76"/>
    <w:rsid w:val="00004BAA"/>
    <w:rsid w:val="00013256"/>
    <w:rsid w:val="00023B04"/>
    <w:rsid w:val="00024080"/>
    <w:rsid w:val="000348CD"/>
    <w:rsid w:val="00055219"/>
    <w:rsid w:val="000710BD"/>
    <w:rsid w:val="00074FF3"/>
    <w:rsid w:val="00096260"/>
    <w:rsid w:val="00097D21"/>
    <w:rsid w:val="000B2707"/>
    <w:rsid w:val="000B3D7B"/>
    <w:rsid w:val="000B60CD"/>
    <w:rsid w:val="000C1D62"/>
    <w:rsid w:val="000C3F38"/>
    <w:rsid w:val="000D2768"/>
    <w:rsid w:val="000D6740"/>
    <w:rsid w:val="000D755C"/>
    <w:rsid w:val="000E11F1"/>
    <w:rsid w:val="000F0148"/>
    <w:rsid w:val="000F0392"/>
    <w:rsid w:val="00103AEF"/>
    <w:rsid w:val="00112915"/>
    <w:rsid w:val="00122A9F"/>
    <w:rsid w:val="0012340D"/>
    <w:rsid w:val="00130E21"/>
    <w:rsid w:val="00132699"/>
    <w:rsid w:val="0013510B"/>
    <w:rsid w:val="00143B24"/>
    <w:rsid w:val="001458FD"/>
    <w:rsid w:val="001465A3"/>
    <w:rsid w:val="00177BFD"/>
    <w:rsid w:val="00192DD1"/>
    <w:rsid w:val="001A6572"/>
    <w:rsid w:val="001B152A"/>
    <w:rsid w:val="001B3047"/>
    <w:rsid w:val="001B440A"/>
    <w:rsid w:val="001D353E"/>
    <w:rsid w:val="001F0850"/>
    <w:rsid w:val="001F499D"/>
    <w:rsid w:val="00201549"/>
    <w:rsid w:val="00216CDB"/>
    <w:rsid w:val="00220E6E"/>
    <w:rsid w:val="002341C7"/>
    <w:rsid w:val="00242BE0"/>
    <w:rsid w:val="00243BEF"/>
    <w:rsid w:val="00257186"/>
    <w:rsid w:val="002612FF"/>
    <w:rsid w:val="002737AE"/>
    <w:rsid w:val="00281BE7"/>
    <w:rsid w:val="00286687"/>
    <w:rsid w:val="00286819"/>
    <w:rsid w:val="002B6A7C"/>
    <w:rsid w:val="002C097C"/>
    <w:rsid w:val="002C1D6A"/>
    <w:rsid w:val="002D1C48"/>
    <w:rsid w:val="002E0530"/>
    <w:rsid w:val="002E5E80"/>
    <w:rsid w:val="00303756"/>
    <w:rsid w:val="003077F0"/>
    <w:rsid w:val="0031356C"/>
    <w:rsid w:val="00321353"/>
    <w:rsid w:val="003408A3"/>
    <w:rsid w:val="00346CB0"/>
    <w:rsid w:val="003562D8"/>
    <w:rsid w:val="00357EB2"/>
    <w:rsid w:val="00375439"/>
    <w:rsid w:val="0038795D"/>
    <w:rsid w:val="003C1B34"/>
    <w:rsid w:val="003C5575"/>
    <w:rsid w:val="003D7291"/>
    <w:rsid w:val="003E4B31"/>
    <w:rsid w:val="003E578E"/>
    <w:rsid w:val="00402AF0"/>
    <w:rsid w:val="00406134"/>
    <w:rsid w:val="00417A9B"/>
    <w:rsid w:val="0042560E"/>
    <w:rsid w:val="00432444"/>
    <w:rsid w:val="0045126A"/>
    <w:rsid w:val="00486BD1"/>
    <w:rsid w:val="00487DB3"/>
    <w:rsid w:val="00487E6B"/>
    <w:rsid w:val="004C6971"/>
    <w:rsid w:val="004D669A"/>
    <w:rsid w:val="004D6CDD"/>
    <w:rsid w:val="004E6364"/>
    <w:rsid w:val="004F4478"/>
    <w:rsid w:val="00511011"/>
    <w:rsid w:val="00532FE4"/>
    <w:rsid w:val="005443A4"/>
    <w:rsid w:val="0055197A"/>
    <w:rsid w:val="00551C05"/>
    <w:rsid w:val="00553483"/>
    <w:rsid w:val="00560B36"/>
    <w:rsid w:val="005719A4"/>
    <w:rsid w:val="00572BFE"/>
    <w:rsid w:val="005762B7"/>
    <w:rsid w:val="0057639A"/>
    <w:rsid w:val="00581A6C"/>
    <w:rsid w:val="00594AE4"/>
    <w:rsid w:val="005A03C1"/>
    <w:rsid w:val="005A41DA"/>
    <w:rsid w:val="005B107A"/>
    <w:rsid w:val="005B5A6E"/>
    <w:rsid w:val="005B6D0D"/>
    <w:rsid w:val="005C057F"/>
    <w:rsid w:val="005C3022"/>
    <w:rsid w:val="005D1585"/>
    <w:rsid w:val="005D48A7"/>
    <w:rsid w:val="005E7890"/>
    <w:rsid w:val="005E79B9"/>
    <w:rsid w:val="005F3EAE"/>
    <w:rsid w:val="005F4AA7"/>
    <w:rsid w:val="005F7B39"/>
    <w:rsid w:val="005F7DC2"/>
    <w:rsid w:val="00614CDD"/>
    <w:rsid w:val="00623E3E"/>
    <w:rsid w:val="006265B3"/>
    <w:rsid w:val="00634424"/>
    <w:rsid w:val="006344E6"/>
    <w:rsid w:val="00634BB7"/>
    <w:rsid w:val="00636B37"/>
    <w:rsid w:val="00643AB7"/>
    <w:rsid w:val="00644CFD"/>
    <w:rsid w:val="00671C14"/>
    <w:rsid w:val="00672E84"/>
    <w:rsid w:val="00673EE7"/>
    <w:rsid w:val="00674F4F"/>
    <w:rsid w:val="00675EC4"/>
    <w:rsid w:val="006839E1"/>
    <w:rsid w:val="006856FE"/>
    <w:rsid w:val="00685F1A"/>
    <w:rsid w:val="0069098E"/>
    <w:rsid w:val="006A5D7E"/>
    <w:rsid w:val="006B26B1"/>
    <w:rsid w:val="006B3A5A"/>
    <w:rsid w:val="006C69EF"/>
    <w:rsid w:val="006D1BB3"/>
    <w:rsid w:val="006D34D7"/>
    <w:rsid w:val="006E0A14"/>
    <w:rsid w:val="006E2273"/>
    <w:rsid w:val="006E3D31"/>
    <w:rsid w:val="006E6C0F"/>
    <w:rsid w:val="006F5AB8"/>
    <w:rsid w:val="007133F1"/>
    <w:rsid w:val="007153D4"/>
    <w:rsid w:val="00722AEC"/>
    <w:rsid w:val="00730601"/>
    <w:rsid w:val="007418CD"/>
    <w:rsid w:val="00744A05"/>
    <w:rsid w:val="0075044C"/>
    <w:rsid w:val="007678C3"/>
    <w:rsid w:val="00771B9C"/>
    <w:rsid w:val="00793B17"/>
    <w:rsid w:val="007A3B55"/>
    <w:rsid w:val="007E7CD4"/>
    <w:rsid w:val="007F3476"/>
    <w:rsid w:val="007F60CD"/>
    <w:rsid w:val="007F762C"/>
    <w:rsid w:val="00803C5D"/>
    <w:rsid w:val="00817FA8"/>
    <w:rsid w:val="00835117"/>
    <w:rsid w:val="00851171"/>
    <w:rsid w:val="00854DE4"/>
    <w:rsid w:val="00874836"/>
    <w:rsid w:val="0087543C"/>
    <w:rsid w:val="00875729"/>
    <w:rsid w:val="008848DC"/>
    <w:rsid w:val="00887B91"/>
    <w:rsid w:val="00890ECA"/>
    <w:rsid w:val="008921CC"/>
    <w:rsid w:val="00894447"/>
    <w:rsid w:val="00895AA8"/>
    <w:rsid w:val="00897B41"/>
    <w:rsid w:val="008C3E59"/>
    <w:rsid w:val="008C7448"/>
    <w:rsid w:val="008D40C3"/>
    <w:rsid w:val="008D6546"/>
    <w:rsid w:val="008D7DD7"/>
    <w:rsid w:val="008F1716"/>
    <w:rsid w:val="008F6C50"/>
    <w:rsid w:val="00905033"/>
    <w:rsid w:val="009321EF"/>
    <w:rsid w:val="00951184"/>
    <w:rsid w:val="0096179F"/>
    <w:rsid w:val="00962304"/>
    <w:rsid w:val="009674CB"/>
    <w:rsid w:val="0098172F"/>
    <w:rsid w:val="0098437E"/>
    <w:rsid w:val="00985F48"/>
    <w:rsid w:val="0098739F"/>
    <w:rsid w:val="00987B33"/>
    <w:rsid w:val="00996B33"/>
    <w:rsid w:val="009A1193"/>
    <w:rsid w:val="009B44EA"/>
    <w:rsid w:val="009D5EA3"/>
    <w:rsid w:val="009F1B63"/>
    <w:rsid w:val="009F1B82"/>
    <w:rsid w:val="00A02C72"/>
    <w:rsid w:val="00A1317B"/>
    <w:rsid w:val="00A17609"/>
    <w:rsid w:val="00A21B2D"/>
    <w:rsid w:val="00A238D1"/>
    <w:rsid w:val="00A24218"/>
    <w:rsid w:val="00A34E7D"/>
    <w:rsid w:val="00A36964"/>
    <w:rsid w:val="00A40AF0"/>
    <w:rsid w:val="00A47B6D"/>
    <w:rsid w:val="00A5120A"/>
    <w:rsid w:val="00A51C14"/>
    <w:rsid w:val="00A52321"/>
    <w:rsid w:val="00A542FC"/>
    <w:rsid w:val="00A543DB"/>
    <w:rsid w:val="00A75226"/>
    <w:rsid w:val="00AA1717"/>
    <w:rsid w:val="00AA22B3"/>
    <w:rsid w:val="00AB34F1"/>
    <w:rsid w:val="00AB48B4"/>
    <w:rsid w:val="00AD2E51"/>
    <w:rsid w:val="00AD6582"/>
    <w:rsid w:val="00AD7A91"/>
    <w:rsid w:val="00AE1252"/>
    <w:rsid w:val="00AE2F50"/>
    <w:rsid w:val="00AE7DAF"/>
    <w:rsid w:val="00AF39A9"/>
    <w:rsid w:val="00B036B0"/>
    <w:rsid w:val="00B24BA7"/>
    <w:rsid w:val="00B31963"/>
    <w:rsid w:val="00B45306"/>
    <w:rsid w:val="00B77E7B"/>
    <w:rsid w:val="00B904C3"/>
    <w:rsid w:val="00B90701"/>
    <w:rsid w:val="00B966A6"/>
    <w:rsid w:val="00BA3860"/>
    <w:rsid w:val="00BB28F7"/>
    <w:rsid w:val="00BB66EA"/>
    <w:rsid w:val="00BD677F"/>
    <w:rsid w:val="00BE1272"/>
    <w:rsid w:val="00C02D1A"/>
    <w:rsid w:val="00C040E3"/>
    <w:rsid w:val="00C36827"/>
    <w:rsid w:val="00C47D98"/>
    <w:rsid w:val="00C55797"/>
    <w:rsid w:val="00C83B02"/>
    <w:rsid w:val="00C94198"/>
    <w:rsid w:val="00C94EEB"/>
    <w:rsid w:val="00CB0854"/>
    <w:rsid w:val="00CC1E53"/>
    <w:rsid w:val="00CD524D"/>
    <w:rsid w:val="00CE36D6"/>
    <w:rsid w:val="00D00D62"/>
    <w:rsid w:val="00D06864"/>
    <w:rsid w:val="00D30604"/>
    <w:rsid w:val="00D37A3F"/>
    <w:rsid w:val="00D40685"/>
    <w:rsid w:val="00D41189"/>
    <w:rsid w:val="00D521A0"/>
    <w:rsid w:val="00D54BF0"/>
    <w:rsid w:val="00D5509B"/>
    <w:rsid w:val="00D55B08"/>
    <w:rsid w:val="00D60295"/>
    <w:rsid w:val="00D6349E"/>
    <w:rsid w:val="00D74946"/>
    <w:rsid w:val="00D82267"/>
    <w:rsid w:val="00D904DE"/>
    <w:rsid w:val="00D90CB4"/>
    <w:rsid w:val="00D94AF1"/>
    <w:rsid w:val="00D95379"/>
    <w:rsid w:val="00D954C3"/>
    <w:rsid w:val="00D97F00"/>
    <w:rsid w:val="00DB1308"/>
    <w:rsid w:val="00DB1B11"/>
    <w:rsid w:val="00DC2D7A"/>
    <w:rsid w:val="00DC3B99"/>
    <w:rsid w:val="00DE57E0"/>
    <w:rsid w:val="00DF4B46"/>
    <w:rsid w:val="00E132AD"/>
    <w:rsid w:val="00E20A87"/>
    <w:rsid w:val="00E572A7"/>
    <w:rsid w:val="00E672E0"/>
    <w:rsid w:val="00E71497"/>
    <w:rsid w:val="00E9225B"/>
    <w:rsid w:val="00E929DF"/>
    <w:rsid w:val="00EA5364"/>
    <w:rsid w:val="00EB2075"/>
    <w:rsid w:val="00EB696A"/>
    <w:rsid w:val="00EC07BB"/>
    <w:rsid w:val="00EC3622"/>
    <w:rsid w:val="00ED2787"/>
    <w:rsid w:val="00ED33BE"/>
    <w:rsid w:val="00EE07F6"/>
    <w:rsid w:val="00EE2193"/>
    <w:rsid w:val="00EE7D30"/>
    <w:rsid w:val="00EF3ABD"/>
    <w:rsid w:val="00EF5F4D"/>
    <w:rsid w:val="00F17A5A"/>
    <w:rsid w:val="00F17E4D"/>
    <w:rsid w:val="00F25628"/>
    <w:rsid w:val="00F25BD2"/>
    <w:rsid w:val="00F348B2"/>
    <w:rsid w:val="00F501FA"/>
    <w:rsid w:val="00F57684"/>
    <w:rsid w:val="00F60DBF"/>
    <w:rsid w:val="00F83828"/>
    <w:rsid w:val="00F84B8F"/>
    <w:rsid w:val="00F854F4"/>
    <w:rsid w:val="00F92B94"/>
    <w:rsid w:val="00FB10B5"/>
    <w:rsid w:val="00FB1546"/>
    <w:rsid w:val="00FB1880"/>
    <w:rsid w:val="00FB2DCE"/>
    <w:rsid w:val="00FB4979"/>
    <w:rsid w:val="00FC01ED"/>
    <w:rsid w:val="00FC0533"/>
    <w:rsid w:val="00FD1A3D"/>
    <w:rsid w:val="00FD2C5B"/>
    <w:rsid w:val="00FD34A3"/>
    <w:rsid w:val="00FF1CAB"/>
    <w:rsid w:val="00FF2173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BBD137"/>
  <w15:docId w15:val="{DAF22C97-54DE-4FCC-AF69-34F29127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nowy"/>
    <w:basedOn w:val="Standardowy"/>
    <w:uiPriority w:val="39"/>
    <w:rsid w:val="007F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qFormat/>
    <w:rsid w:val="007F34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E36D6"/>
    <w:rPr>
      <w:sz w:val="16"/>
      <w:szCs w:val="16"/>
    </w:rPr>
  </w:style>
  <w:style w:type="paragraph" w:styleId="Tekstkomentarza">
    <w:name w:val="annotation text"/>
    <w:aliases w:val="Tekst komentarza Znak Znak,Znak3 Znak Znak, Znak3 Znak Znak, Znak,Znak"/>
    <w:basedOn w:val="Normalny"/>
    <w:link w:val="TekstkomentarzaZnak"/>
    <w:uiPriority w:val="99"/>
    <w:unhideWhenUsed/>
    <w:rsid w:val="00CE3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,Znak3 Znak Znak Znak, Znak3 Znak Znak Znak, Znak Znak,Znak Znak"/>
    <w:basedOn w:val="Domylnaczcionkaakapitu"/>
    <w:link w:val="Tekstkomentarza"/>
    <w:uiPriority w:val="99"/>
    <w:rsid w:val="00CE3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6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8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860"/>
    <w:rPr>
      <w:vertAlign w:val="superscript"/>
    </w:rPr>
  </w:style>
  <w:style w:type="paragraph" w:styleId="Poprawka">
    <w:name w:val="Revision"/>
    <w:hidden/>
    <w:uiPriority w:val="99"/>
    <w:semiHidden/>
    <w:rsid w:val="006D1BB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D7DD7"/>
    <w:rPr>
      <w:color w:val="0000FF" w:themeColor="hyperlink"/>
      <w:u w:val="single"/>
    </w:rPr>
  </w:style>
  <w:style w:type="paragraph" w:customStyle="1" w:styleId="Default">
    <w:name w:val="Default"/>
    <w:rsid w:val="008D7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572A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B31"/>
  </w:style>
  <w:style w:type="paragraph" w:styleId="Stopka">
    <w:name w:val="footer"/>
    <w:basedOn w:val="Normalny"/>
    <w:link w:val="StopkaZnak"/>
    <w:uiPriority w:val="99"/>
    <w:unhideWhenUsed/>
    <w:rsid w:val="003E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B31"/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qFormat/>
    <w:locked/>
    <w:rsid w:val="0011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competition/state_aid/legislation/reference_rate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gov.pl/stopa_referencyjna_i_archiwum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879C-6743-4B3B-A3CE-88472E63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5304D1F3</Template>
  <TotalTime>152</TotalTime>
  <Pages>5</Pages>
  <Words>1932</Words>
  <Characters>11594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Baczewski, Jacek</dc:creator>
  <cp:lastModifiedBy>Agnieszka Czarnobil</cp:lastModifiedBy>
  <cp:revision>36</cp:revision>
  <cp:lastPrinted>2024-02-20T12:08:00Z</cp:lastPrinted>
  <dcterms:created xsi:type="dcterms:W3CDTF">2023-06-30T11:07:00Z</dcterms:created>
  <dcterms:modified xsi:type="dcterms:W3CDTF">2024-03-11T10:34:00Z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Krzysztof.Lesniak@bgk.pl</vt:lpwstr>
  </property>
  <property fmtid="{D5CDD505-2E9C-101B-9397-08002B2CF9AE}" pid="5" name="MSIP_Label_ffd642cb-f5ac-4f9c-8f91-3377ed972e0d_SetDate">
    <vt:lpwstr>2019-04-29T14:16:59.9516635Z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2022-02-07T09:27:18Z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</Properties>
</file>